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Arial"/>
          <w:b/>
          <w:b/>
          <w:bCs/>
          <w:sz w:val="22"/>
          <w:szCs w:val="22"/>
          <w:u w:val="none"/>
        </w:rPr>
      </w:pPr>
      <w:r>
        <w:rPr>
          <w:rFonts w:cs="Arial" w:ascii="Times New Roman" w:hAnsi="Times New Roman"/>
          <w:b/>
          <w:bCs/>
          <w:sz w:val="22"/>
          <w:szCs w:val="22"/>
          <w:u w:val="none"/>
        </w:rPr>
        <w:t>Kiosztásra a 26. napirendi ponthoz</w:t>
      </w:r>
    </w:p>
    <w:p>
      <w:pPr>
        <w:pStyle w:val="Normal"/>
        <w:jc w:val="right"/>
        <w:rPr>
          <w:rFonts w:ascii="Times New Roman" w:hAnsi="Times New Roman" w:cs="Arial"/>
          <w:b/>
          <w:b/>
          <w:bCs/>
          <w:sz w:val="22"/>
          <w:szCs w:val="22"/>
          <w:u w:val="none"/>
        </w:rPr>
      </w:pPr>
      <w:r>
        <w:rPr>
          <w:rFonts w:cs="Arial" w:ascii="Times New Roman" w:hAnsi="Times New Roman"/>
          <w:b/>
          <w:bCs/>
          <w:sz w:val="22"/>
          <w:szCs w:val="22"/>
          <w:u w:val="none"/>
        </w:rPr>
        <w:t>A Pénzügyi bizottság által kiegészített határozati javaslat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 w:ascii="Times New Roman" w:hAnsi="Times New Roman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 w:ascii="Times New Roman" w:hAnsi="Times New Roman"/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 w:ascii="Times New Roman" w:hAnsi="Times New Roman"/>
          <w:b/>
          <w:bCs/>
          <w:sz w:val="22"/>
          <w:szCs w:val="22"/>
          <w:u w:val="single"/>
        </w:rPr>
        <w:t xml:space="preserve"> 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HATÁROZATI JAVASLAT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 w:ascii="Times New Roman" w:hAnsi="Times New Roman"/>
          <w:b/>
          <w:bCs/>
          <w:sz w:val="22"/>
          <w:szCs w:val="22"/>
          <w:u w:val="single"/>
        </w:rPr>
        <w:t>Dunaújváros Megyei Jogú Város Közgyűlésének</w:t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2"/>
          <w:szCs w:val="22"/>
          <w:u w:val="single"/>
        </w:rPr>
      </w:pPr>
      <w:r>
        <w:rPr>
          <w:rFonts w:cs="Arial" w:ascii="Times New Roman" w:hAnsi="Times New Roman"/>
          <w:b/>
          <w:bCs/>
          <w:sz w:val="22"/>
          <w:szCs w:val="22"/>
          <w:u w:val="single"/>
        </w:rPr>
        <w:t>........../201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5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. (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X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.1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5</w:t>
      </w:r>
      <w:r>
        <w:rPr>
          <w:rFonts w:cs="Arial" w:ascii="Times New Roman" w:hAnsi="Times New Roman"/>
          <w:b/>
          <w:bCs/>
          <w:sz w:val="22"/>
          <w:szCs w:val="22"/>
          <w:u w:val="single"/>
        </w:rPr>
        <w:t>.) határozata</w:t>
      </w:r>
    </w:p>
    <w:p>
      <w:pPr>
        <w:pStyle w:val="Normal"/>
        <w:tabs>
          <w:tab w:val="left" w:pos="345" w:leader="none"/>
        </w:tabs>
        <w:jc w:val="center"/>
        <w:rPr>
          <w:rFonts w:ascii="Times New Roman" w:hAnsi="Times New Roman" w:eastAsia="Arial" w:cs="Arial"/>
          <w:b/>
          <w:b/>
          <w:b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Javaslat a DVG Dunaújvárosi Vagyonkezelő Zrt. 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által üzemeltetett műfüves futballpályák működési költségeinek megtérítésére 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2014. június 16. - december 1. között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w:t>1.</w:t>
      </w:r>
      <w:r>
        <w:rPr>
          <w:rFonts w:eastAsia="Times New Roman" w:cs="Arial" w:ascii="Times New Roman" w:hAnsi="Times New Roman"/>
          <w:b w:val="false"/>
          <w:bCs w:val="false"/>
          <w:color w:val="00000A"/>
          <w:spacing w:val="-2"/>
          <w:position w:val="2"/>
          <w:sz w:val="22"/>
          <w:szCs w:val="22"/>
          <w:u w:val="none"/>
          <w:lang w:val="hu-HU" w:eastAsia="hu-HU" w:bidi="hu-HU"/>
        </w:rPr>
        <w:t xml:space="preserve"> </w:t>
      </w:r>
      <w:r>
        <w:rPr>
          <w:rFonts w:eastAsia="Arial" w:cs="Arial" w:ascii="Times New Roman" w:hAnsi="Times New Roman"/>
          <w:sz w:val="22"/>
          <w:szCs w:val="22"/>
        </w:rPr>
        <w:t>Dunaújváros Megyei Jogú Város Közg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yűlése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>megtéríti a DVG Zrt. részére a a dunaújvárosi 317/2 helyrajzi számon létrejött műfüves futballpályák működési költségeit 2014. június 16. - december 1. között 10.546.080.-Ft+ Áfa összegbe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n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a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Dunaújváros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>M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egyei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>J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ogú Városi Önkormányzat 2015. évi költségvetéséről és annak végrehajtásáról szóló 2/2015. (II.20.) rendelet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>pályázati önerő tartalék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 xml:space="preserve">előirányzata </w:t>
      </w:r>
      <w:r>
        <w:rPr>
          <w:rFonts w:eastAsia="Arial" w:cs="Arial" w:ascii="Times New Roman" w:hAnsi="Times New Roman"/>
          <w:b w:val="false"/>
          <w:bCs w:val="false"/>
          <w:sz w:val="22"/>
          <w:szCs w:val="22"/>
        </w:rPr>
        <w:t>terhére.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 w:ascii="Times New Roman" w:hAnsi="Times New Roman"/>
          <w:color w:val="000000"/>
          <w:spacing w:val="-2"/>
          <w:position w:val="2"/>
          <w:sz w:val="22"/>
          <w:szCs w:val="22"/>
          <w:lang w:val="hu-HU" w:eastAsia="zxx" w:bidi="zxx"/>
        </w:rPr>
        <w:t xml:space="preserve">2. </w:t>
      </w:r>
      <w:r>
        <w:rPr>
          <w:rFonts w:eastAsia="Times New Roman" w:cs="Arial" w:ascii="Times New Roman" w:hAnsi="Times New Roman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Közgyűlése </w:t>
      </w:r>
      <w:r>
        <w:rPr>
          <w:rFonts w:eastAsia="Times New Roman" w:cs="Arial" w:ascii="Times New Roman" w:hAnsi="Times New Roman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felkéri a polgármestert a határozat közlésére,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valamint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hogy jelen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határozat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alapján gondoskodjon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kötelezettségvállalás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pénzügyi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teljesítésér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ől.</w:t>
      </w:r>
    </w:p>
    <w:p>
      <w:pPr>
        <w:pStyle w:val="Szvegtrzs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 w:ascii="Times New Roman" w:hAnsi="Times New Roman"/>
          <w:b/>
          <w:bCs/>
          <w:sz w:val="22"/>
          <w:szCs w:val="22"/>
          <w:u w:val="single"/>
        </w:rPr>
        <w:t xml:space="preserve">Felelős: </w:t>
      </w:r>
      <w:r>
        <w:rPr>
          <w:rFonts w:eastAsia="Arial" w:cs="Arial" w:ascii="Times New Roman" w:hAnsi="Times New Roman"/>
          <w:sz w:val="22"/>
          <w:szCs w:val="22"/>
        </w:rPr>
        <w:t>- a határozat közléséért és végrehajtásáért: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w:t xml:space="preserve">                 </w:t>
      </w:r>
      <w:r>
        <w:rPr>
          <w:rFonts w:eastAsia="Arial" w:cs="Arial" w:ascii="Times New Roman" w:hAnsi="Times New Roman"/>
          <w:sz w:val="22"/>
          <w:szCs w:val="22"/>
        </w:rPr>
        <w:t xml:space="preserve">a polgármester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w:t xml:space="preserve">               </w:t>
      </w:r>
      <w:r>
        <w:rPr>
          <w:rFonts w:eastAsia="Arial" w:cs="Arial" w:ascii="Times New Roman" w:hAnsi="Times New Roman"/>
          <w:sz w:val="22"/>
          <w:szCs w:val="22"/>
        </w:rPr>
        <w:t xml:space="preserve">- a határozat közlésében </w:t>
      </w:r>
      <w:r>
        <w:rPr>
          <w:rFonts w:eastAsia="Arial" w:cs="Arial" w:ascii="Times New Roman" w:hAnsi="Times New Roman"/>
          <w:sz w:val="22"/>
          <w:szCs w:val="22"/>
        </w:rPr>
        <w:t>és a kötelezettségvállalás teljesítésében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w:t xml:space="preserve">                </w:t>
      </w:r>
      <w:r>
        <w:rPr>
          <w:rFonts w:eastAsia="Arial" w:cs="Arial" w:ascii="Times New Roman" w:hAnsi="Times New Roman"/>
          <w:sz w:val="22"/>
          <w:szCs w:val="22"/>
        </w:rPr>
        <w:t>a Vagyonkezelési osztály vezetője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w:t xml:space="preserve">              </w:t>
      </w:r>
      <w:r>
        <w:rPr>
          <w:rFonts w:eastAsia="Arial" w:cs="Arial" w:ascii="Times New Roman" w:hAnsi="Times New Roman"/>
          <w:sz w:val="22"/>
          <w:szCs w:val="22"/>
        </w:rPr>
        <w:t xml:space="preserve">- a határozat </w:t>
      </w:r>
      <w:r>
        <w:rPr>
          <w:rFonts w:eastAsia="Arial" w:cs="Arial" w:ascii="Times New Roman" w:hAnsi="Times New Roman"/>
          <w:sz w:val="22"/>
          <w:szCs w:val="22"/>
        </w:rPr>
        <w:t>végrehajtásában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  <w:t xml:space="preserve">                </w:t>
      </w:r>
      <w:r>
        <w:rPr>
          <w:rFonts w:eastAsia="Arial" w:cs="Arial" w:ascii="Times New Roman" w:hAnsi="Times New Roman"/>
          <w:sz w:val="22"/>
          <w:szCs w:val="22"/>
        </w:rPr>
        <w:t xml:space="preserve">a </w:t>
      </w:r>
      <w:r>
        <w:rPr>
          <w:rFonts w:eastAsia="Arial" w:cs="Arial" w:ascii="Times New Roman" w:hAnsi="Times New Roman"/>
          <w:sz w:val="22"/>
          <w:szCs w:val="22"/>
        </w:rPr>
        <w:t>Költségvetési és Pénzügyi</w:t>
      </w:r>
      <w:r>
        <w:rPr>
          <w:rFonts w:eastAsia="Arial" w:cs="Arial" w:ascii="Times New Roman" w:hAnsi="Times New Roman"/>
          <w:sz w:val="22"/>
          <w:szCs w:val="22"/>
        </w:rPr>
        <w:t xml:space="preserve"> osztály osztályvezetője </w:t>
      </w:r>
    </w:p>
    <w:p>
      <w:pPr>
        <w:pStyle w:val="Normal"/>
        <w:tabs>
          <w:tab w:val="left" w:pos="5580" w:leader="none"/>
        </w:tabs>
        <w:spacing w:lineRule="auto" w:line="240"/>
        <w:jc w:val="both"/>
        <w:rPr>
          <w:rFonts w:ascii="Times New Roman" w:hAnsi="Times New Roman" w:eastAsia="Arial" w:cs="Arial"/>
          <w:sz w:val="22"/>
          <w:szCs w:val="22"/>
        </w:rPr>
      </w:pPr>
      <w:r>
        <w:rPr>
          <w:rFonts w:eastAsia="Arial" w:cs="Arial" w:ascii="Times New Roman" w:hAnsi="Times New Roman"/>
          <w:sz w:val="22"/>
          <w:szCs w:val="22"/>
        </w:rPr>
      </w:r>
    </w:p>
    <w:p>
      <w:pPr>
        <w:pStyle w:val="Normal"/>
        <w:tabs>
          <w:tab w:val="left" w:pos="-15" w:leader="none"/>
        </w:tabs>
        <w:spacing w:lineRule="auto" w:line="240" w:before="0" w:after="283"/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Lucida Sans Unicode" w:cs="Arial" w:ascii="Times New Roman" w:hAnsi="Times New Roman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single"/>
          <w:lang w:val="hu-HU" w:eastAsia="zxx" w:bidi="zxx"/>
        </w:rPr>
        <w:t xml:space="preserve">Határidő: </w:t>
      </w:r>
      <w:r>
        <w:rPr>
          <w:rFonts w:eastAsia="Lucida Sans Unicode" w:cs="Arial" w:ascii="Times New Roman" w:hAnsi="Times New Roman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-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a határozat közlésére: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az előkészítő osztálynak való megküldését követő 8 napon belül                 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</w:t>
        <w:tab/>
        <w:t xml:space="preserve">        - a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működési költség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utalására: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a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>határozat közlését követő 15 napon belül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3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. Dunaújváros Megyei Jogú Város Közgyűlése utasítja a jegyzőt, hogy a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z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1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. pontban rögzített kötelezettségvállalást a 201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5</w:t>
      </w: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. évi önkormányzati költségvetés soron következő módosításakor vegye figyelembe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Normal"/>
        <w:spacing w:lineRule="exact" w:line="240"/>
        <w:jc w:val="both"/>
        <w:rPr>
          <w:rFonts w:ascii="Times New Roman" w:hAnsi="Times New Roman" w:cs="Arial"/>
          <w:b w:val="false"/>
          <w:b w:val="false"/>
          <w:bCs w:val="false"/>
          <w:spacing w:val="-2"/>
          <w:position w:val="2"/>
          <w:sz w:val="22"/>
          <w:szCs w:val="22"/>
          <w:lang w:bidi="zxx"/>
        </w:rPr>
      </w:pPr>
      <w:r>
        <w:rPr>
          <w:rFonts w:cs="Arial" w:ascii="Times New Roman" w:hAnsi="Times New Roman"/>
          <w:b w:val="false"/>
          <w:bCs w:val="false"/>
          <w:spacing w:val="-2"/>
          <w:position w:val="2"/>
          <w:sz w:val="22"/>
          <w:szCs w:val="22"/>
          <w:lang w:bidi="zxx"/>
        </w:rPr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 w:ascii="Times New Roman" w:hAnsi="Times New Roman"/>
          <w:b/>
          <w:bCs/>
          <w:color w:val="auto"/>
          <w:sz w:val="22"/>
          <w:szCs w:val="22"/>
          <w:u w:val="none"/>
          <w:lang w:val="hu-HU"/>
        </w:rPr>
        <w:t>Felelős: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- a kötelezettségvállalás teljesítéséért: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a polgármester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- a költségvetés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módosításának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tervezéséért: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a jegyző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- a költségvetés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módosításának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>tervezésében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>a gazdasági és területfejlesztési bizottság elnöke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a pénzügyi bizottság elnöke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/>
        </w:rPr>
        <w:t xml:space="preserve">az ügyrendi, igazgatási és jogi bizottság elnöke 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                </w:t>
      </w:r>
      <w:r>
        <w:rPr>
          <w:rFonts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a Gazdasági Igazgatóság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Költségvetési,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Pénzügyi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Osztály</w:t>
      </w:r>
      <w:r>
        <w:rPr>
          <w:rFonts w:eastAsia="Arial"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auto"/>
          <w:sz w:val="22"/>
          <w:szCs w:val="22"/>
          <w:u w:val="none"/>
          <w:lang w:val="hu-HU" w:eastAsia="zxx" w:bidi="zxx"/>
        </w:rPr>
        <w:t>vezetője</w:t>
      </w:r>
    </w:p>
    <w:p>
      <w:pPr>
        <w:pStyle w:val="Normal"/>
        <w:tabs>
          <w:tab w:val="left" w:pos="5580" w:leader="none"/>
        </w:tabs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Határidő:</w:t>
      </w:r>
      <w:r>
        <w:rPr>
          <w:rFonts w:eastAsia="Arial" w:cs="Arial" w:ascii="Times New Roman" w:hAnsi="Times New Roman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201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évi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költségvetés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módosításának </w:t>
      </w: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időpontja</w:t>
      </w:r>
    </w:p>
    <w:p>
      <w:pPr>
        <w:pStyle w:val="Normal"/>
        <w:tabs>
          <w:tab w:val="left" w:pos="5580" w:leader="none"/>
        </w:tabs>
        <w:ind w:left="0" w:right="60" w:hanging="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highlight w:val="white"/>
          <w:u w:val="none"/>
          <w:lang w:val="hu-HU" w:eastAsia="zxx" w:bidi="zxx"/>
        </w:rPr>
        <w:t xml:space="preserve">       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Dunaújváros,</w:t>
      </w:r>
      <w:r>
        <w:rPr>
          <w:rFonts w:eastAsia="Arial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201</w:t>
      </w:r>
      <w:r>
        <w:rPr>
          <w:rFonts w:eastAsia="Arial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5</w:t>
      </w:r>
      <w:r>
        <w:rPr>
          <w:rFonts w:eastAsia="Arial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. </w:t>
      </w:r>
      <w:r>
        <w:rPr>
          <w:rFonts w:eastAsia="Arial"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  <w:t>október 15.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Times New Roman" w:hAnsi="Times New Roman" w:cs="Arial"/>
          <w:color w:val="auto"/>
          <w:spacing w:val="-2"/>
          <w:position w:val="2"/>
          <w:sz w:val="22"/>
          <w:szCs w:val="22"/>
          <w:lang w:val="hu-HU" w:eastAsia="zxx" w:bidi="zxx"/>
        </w:rPr>
      </w:pPr>
      <w:r>
        <w:rPr>
          <w:rFonts w:cs="Arial" w:ascii="Times New Roman" w:hAnsi="Times New Roman"/>
          <w:color w:val="auto"/>
          <w:spacing w:val="-2"/>
          <w:position w:val="2"/>
          <w:sz w:val="22"/>
          <w:szCs w:val="22"/>
          <w:lang w:val="hu-HU" w:eastAsia="zxx" w:bidi="zxx"/>
        </w:rPr>
      </w:r>
    </w:p>
    <w:tbl>
      <w:tblPr>
        <w:tblW w:w="9534" w:type="dxa"/>
        <w:jc w:val="left"/>
        <w:tblInd w:w="166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10"/>
        <w:gridCol w:w="4824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>Hingyi László s.k.</w:t>
            </w:r>
          </w:p>
          <w:p>
            <w:pPr>
              <w:pStyle w:val="Tblzattartalom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>a gazdasági és területfejlesztési bizottság elnöke</w:t>
            </w:r>
          </w:p>
          <w:p>
            <w:pPr>
              <w:pStyle w:val="Tblzattartalom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blzattartalom"/>
              <w:jc w:val="both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>Sztankovics László</w:t>
            </w: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 xml:space="preserve"> s.k. 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</w:pPr>
            <w:r>
              <w:rPr>
                <w:rFonts w:eastAsia="Arial" w:cs="Arial" w:ascii="Times New Roman" w:hAnsi="Times New Roman"/>
                <w:b/>
                <w:bCs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  <w:t>oktatási, kulturális, ifjúsági és sportbizottság</w:t>
            </w:r>
          </w:p>
          <w:p>
            <w:pPr>
              <w:pStyle w:val="Normal"/>
              <w:tabs>
                <w:tab w:val="left" w:pos="0" w:leader="none"/>
              </w:tabs>
              <w:jc w:val="center"/>
              <w:rPr>
                <w:rFonts w:ascii="Times New Roman" w:hAnsi="Times New Roman" w:eastAsia="Arial" w:cs="Arial"/>
                <w:b/>
                <w:b/>
                <w:bCs/>
                <w:i w:val="false"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</w:pPr>
            <w:r>
              <w:rPr>
                <w:rFonts w:eastAsia="Arial" w:cs="Arial" w:ascii="Times New Roman" w:hAnsi="Times New Roman"/>
                <w:b/>
                <w:bCs/>
                <w:i w:val="false"/>
                <w:iCs w:val="false"/>
                <w:color w:val="auto"/>
                <w:spacing w:val="-2"/>
                <w:position w:val="2"/>
                <w:sz w:val="22"/>
                <w:szCs w:val="22"/>
                <w:lang w:val="hu-HU" w:eastAsia="zxx" w:bidi="zxx"/>
              </w:rPr>
              <w:t>elnöke</w:t>
            </w:r>
          </w:p>
        </w:tc>
        <w:tc>
          <w:tcPr>
            <w:tcW w:w="4824" w:type="dxa"/>
            <w:tcBorders/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 xml:space="preserve">Pintér Attila </w:t>
            </w: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>s.k.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 xml:space="preserve">a </w:t>
            </w: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  <w:t>pénzügyi bizottság elnöke</w:t>
            </w:r>
          </w:p>
          <w:p>
            <w:pPr>
              <w:pStyle w:val="Normal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482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16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zvegtrzs2">
    <w:name w:val="Szövegtörzs 2"/>
    <w:basedOn w:val="Normal"/>
    <w:qFormat/>
    <w:pPr>
      <w:ind w:left="0" w:right="615" w:hanging="0"/>
      <w:jc w:val="both"/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Application>LibreOffice/5.0.1.2$Windows_x86 LibreOffice_project/81898c9f5c0d43f3473ba111d7b351050be20261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2015-10-14T13:03:46Z</dcterms:created>
  <dc:language>hu-HU</dc:language>
  <cp:lastPrinted>2015-10-14T13:15:20Z</cp:lastPrinted>
  <dcterms:modified xsi:type="dcterms:W3CDTF">2015-10-14T13:18:44Z</dcterms:modified>
  <cp:revision>3</cp:revision>
</cp:coreProperties>
</file>