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 w:ascii="Arial" w:hAnsi="Arial"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Alcm"/>
        <w:rPr>
          <w:rFonts w:ascii="Arial" w:hAnsi="Arial" w:cs="Arial"/>
          <w:b/>
          <w:b/>
          <w:color w:val="000000"/>
          <w:szCs w:val="28"/>
          <w:u w:val="none"/>
        </w:rPr>
      </w:pPr>
      <w:r>
        <w:rPr>
          <w:rFonts w:cs="Arial" w:ascii="Arial" w:hAnsi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</w:t>
      </w:r>
      <w:r>
        <w:rPr>
          <w:rFonts w:cs="Arial" w:ascii="Arial" w:hAnsi="Arial"/>
          <w:b/>
          <w:color w:val="000000"/>
          <w:sz w:val="28"/>
          <w:szCs w:val="28"/>
        </w:rPr>
        <w:t>15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  <w:r>
        <w:rPr>
          <w:rFonts w:cs="Arial" w:ascii="Arial" w:hAnsi="Arial"/>
          <w:b/>
          <w:color w:val="000000"/>
          <w:sz w:val="28"/>
          <w:szCs w:val="28"/>
        </w:rPr>
        <w:t>12.17.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által, a nem lakáscélú helyiségek bérleti díj módosítására tett javaslat elfogadására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Előadó:</w:t>
      </w:r>
      <w:r>
        <w:rPr>
          <w:rFonts w:cs="Arial" w:ascii="Arial" w:hAnsi="Arial"/>
          <w:color w:val="000000"/>
          <w:sz w:val="24"/>
          <w:szCs w:val="24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a pénzügyi bizottság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/>
        </w:rPr>
        <w:t xml:space="preserve">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color w:val="000000"/>
          <w:sz w:val="24"/>
          <w:szCs w:val="24"/>
          <w:u w:val="none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/>
        </w:rPr>
        <w:t xml:space="preserve"> a szociális, egészségügyi és lakásügyi bizottság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u w:val="none"/>
          <w:lang w:val="hu-HU"/>
        </w:rPr>
        <w:t xml:space="preserve"> elnöke</w:t>
      </w:r>
    </w:p>
    <w:p>
      <w:pPr>
        <w:pStyle w:val="Normal"/>
        <w:tabs>
          <w:tab w:val="left" w:pos="2340" w:leader="none"/>
        </w:tabs>
        <w:rPr>
          <w:rFonts w:ascii="Arial" w:hAnsi="Arial" w:eastAsia="TimesNewRoman" w:cs="Arial"/>
          <w:b w:val="false"/>
          <w:b w:val="false"/>
          <w:bCs w:val="false"/>
          <w:color w:val="000000"/>
          <w:sz w:val="24"/>
          <w:szCs w:val="24"/>
          <w:u w:val="none"/>
          <w:lang w:val="hu-HU"/>
        </w:rPr>
      </w:pP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Dr. Vántus Judit osztályvezető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Sebestyénné dr. Tóth Judit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ügyintéző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color w:val="000000"/>
          <w:sz w:val="24"/>
          <w:szCs w:val="24"/>
        </w:rPr>
        <w:tab/>
      </w:r>
      <w:r>
        <w:rPr>
          <w:rFonts w:cs="Arial" w:ascii="Arial" w:hAnsi="Arial"/>
          <w:b/>
          <w:bCs w:val="false"/>
          <w:color w:val="000000"/>
          <w:sz w:val="24"/>
          <w:szCs w:val="24"/>
          <w:u w:val="none"/>
        </w:rPr>
        <w:t>Mádai Balázs elnök-vezérigazgató, DVG Zrt.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  <w:u w:val="none"/>
        </w:rPr>
        <w:tab/>
      </w:r>
    </w:p>
    <w:p>
      <w:pPr>
        <w:pStyle w:val="Normal"/>
        <w:tabs>
          <w:tab w:val="left" w:pos="2340" w:leader="none"/>
          <w:tab w:val="left" w:pos="7380" w:leader="none"/>
        </w:tabs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Véleményező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bizottságok: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gazdasági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és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területfejlesztési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bizottság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 w:ascii="Arial" w:hAnsi="Arial"/>
          <w:color w:val="000000"/>
          <w:sz w:val="24"/>
          <w:szCs w:val="24"/>
        </w:rPr>
        <w:t>201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>.</w:t>
      </w:r>
      <w:r>
        <w:rPr>
          <w:rFonts w:cs="Arial" w:ascii="Arial" w:hAnsi="Arial"/>
          <w:color w:val="000000"/>
          <w:sz w:val="24"/>
          <w:szCs w:val="24"/>
        </w:rPr>
        <w:t>12.</w:t>
      </w:r>
      <w:r>
        <w:rPr>
          <w:rFonts w:cs="Arial" w:ascii="Arial" w:hAnsi="Arial"/>
          <w:color w:val="000000"/>
          <w:sz w:val="24"/>
          <w:szCs w:val="24"/>
        </w:rPr>
        <w:t>09.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  <w:highlight w:val="yellow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pénzügyi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bizottság</w:t>
        <w:tab/>
        <w:t>201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5.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1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2.</w:t>
      </w:r>
    </w:p>
    <w:p>
      <w:pPr>
        <w:pStyle w:val="Normal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a szociális, egészségügyi és lakásügyi bizottság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 </w:t>
        <w:tab/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2015.12.</w:t>
      </w:r>
    </w:p>
    <w:p>
      <w:pPr>
        <w:pStyle w:val="Normal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jc w:val="both"/>
        <w:rPr>
          <w:rFonts w:ascii="Arial" w:hAnsi="Arial" w:eastAsia="TimesNewRoman" w:cs="Arial"/>
          <w:b w:val="false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pP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napirendi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pont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rövid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tartalma: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 DVG Zrt. javaslatot tett a nem lakáscélú helyiségek bérleti díjának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módosítására.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tabs>
          <w:tab w:val="left" w:pos="-252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A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napirendi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pont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előkészítőinek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Osztály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neve:</w:t>
        <w:tab/>
        <w:t>vagyonkezelési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osztály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Ügyintéző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neve:</w:t>
        <w:tab/>
      </w:r>
      <w:r>
        <w:rPr>
          <w:rFonts w:cs="Arial" w:ascii="Arial" w:hAnsi="Arial"/>
          <w:color w:val="000000"/>
          <w:sz w:val="24"/>
          <w:szCs w:val="24"/>
        </w:rPr>
        <w:t>Sebestyénné dr. Tóth Judit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ügyintéző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E-mail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címe:</w:t>
        <w:tab/>
      </w:r>
      <w:r>
        <w:rPr>
          <w:rFonts w:cs="Arial" w:ascii="Arial" w:hAnsi="Arial"/>
          <w:color w:val="000000"/>
          <w:sz w:val="24"/>
          <w:szCs w:val="24"/>
        </w:rPr>
        <w:t>sebestyenne</w:t>
      </w:r>
      <w:r>
        <w:rPr>
          <w:rFonts w:cs="Arial" w:ascii="Arial" w:hAnsi="Arial"/>
          <w:color w:val="000000"/>
          <w:sz w:val="24"/>
          <w:szCs w:val="24"/>
        </w:rPr>
        <w:t>@pmh.dunanet.hu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Telefonszáma:</w:t>
        <w:tab/>
        <w:t>06-25-544-</w:t>
      </w:r>
      <w:r>
        <w:rPr>
          <w:rFonts w:eastAsia="Arial" w:cs="Arial" w:ascii="Arial" w:hAnsi="Arial"/>
          <w:color w:val="000000"/>
          <w:sz w:val="24"/>
          <w:szCs w:val="24"/>
        </w:rPr>
        <w:t>302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2755/2015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Előkészítő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aláírása:</w:t>
        <w:tab/>
      </w:r>
      <w:r>
        <w:rPr>
          <w:rFonts w:eastAsia="Arial" w:cs="Arial" w:ascii="Arial" w:hAnsi="Arial"/>
          <w:color w:val="000000"/>
          <w:sz w:val="24"/>
          <w:szCs w:val="24"/>
        </w:rPr>
        <w:t>Sebestyénné dr. Tóth Judit</w:t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Igazgató/Osztályvezető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aláírása:</w:t>
        <w:tab/>
        <w:t xml:space="preserve">Dr. Vántus Judit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A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törvényességi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ellenőrzésre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vonatkozó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Törvényességi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ellenőrzést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végző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személy:</w:t>
        <w:tab/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Leadás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dátuma:</w:t>
        <w:tab/>
        <w:t>201</w:t>
      </w:r>
      <w:r>
        <w:rPr>
          <w:rFonts w:cs="Arial" w:ascii="Arial" w:hAnsi="Arial"/>
          <w:color w:val="000000"/>
          <w:sz w:val="24"/>
          <w:szCs w:val="24"/>
        </w:rPr>
        <w:t>5.</w:t>
      </w:r>
      <w:r>
        <w:rPr>
          <w:rFonts w:cs="Arial" w:ascii="Arial" w:hAnsi="Arial"/>
          <w:color w:val="000000"/>
          <w:sz w:val="24"/>
          <w:szCs w:val="24"/>
        </w:rPr>
        <w:t>12.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Ellenőrzés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dátuma:</w:t>
        <w:tab/>
        <w:t>201</w:t>
      </w:r>
      <w:r>
        <w:rPr>
          <w:rFonts w:cs="Arial" w:ascii="Arial" w:hAnsi="Arial"/>
          <w:color w:val="000000"/>
          <w:sz w:val="24"/>
          <w:szCs w:val="24"/>
        </w:rPr>
        <w:t>5.</w:t>
      </w:r>
      <w:r>
        <w:rPr>
          <w:rFonts w:cs="Arial" w:ascii="Arial" w:hAnsi="Arial"/>
          <w:color w:val="000000"/>
          <w:sz w:val="24"/>
          <w:szCs w:val="24"/>
        </w:rPr>
        <w:t>12.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Törvényességi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észrevétel:</w:t>
        <w:tab/>
        <w:t>Van</w:t>
      </w:r>
      <w:r>
        <w:rPr>
          <w:rFonts w:cs="Arial" w:ascii="Arial" w:hAnsi="Arial"/>
          <w:color w:val="000000"/>
          <w:sz w:val="24"/>
          <w:szCs w:val="24"/>
          <w:u w:val="none"/>
        </w:rPr>
        <w:t>/Nincs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Amennyiben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van: 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Az elfogadáshoz szükséges szavazati arány:</w:t>
        <w:tab/>
      </w:r>
      <w:r>
        <w:rPr>
          <w:rFonts w:cs="Arial" w:ascii="Arial" w:hAnsi="Arial"/>
          <w:color w:val="000000"/>
          <w:sz w:val="24"/>
          <w:szCs w:val="24"/>
          <w:u w:val="none"/>
        </w:rPr>
        <w:t>egyszerű/minősített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tárgyalás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módja:</w:t>
      </w:r>
      <w:r>
        <w:rPr>
          <w:rFonts w:cs="Arial" w:ascii="Arial" w:hAnsi="Arial"/>
          <w:color w:val="000000"/>
          <w:sz w:val="24"/>
          <w:szCs w:val="24"/>
        </w:rPr>
        <w:tab/>
      </w:r>
      <w:r>
        <w:rPr>
          <w:rFonts w:cs="Arial" w:ascii="Arial" w:hAnsi="Arial"/>
          <w:b/>
          <w:color w:val="000000"/>
          <w:sz w:val="24"/>
          <w:szCs w:val="24"/>
        </w:rPr>
        <w:t>Nyílt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Egyéb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megjegyzések: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Szvegtrzs"/>
        <w:jc w:val="center"/>
        <w:rPr>
          <w:rFonts w:ascii="Arial" w:hAnsi="Arial" w:eastAsia="Lucida Sans Unicode" w:cs="Arial"/>
          <w:b/>
          <w:b/>
          <w:sz w:val="24"/>
          <w:szCs w:val="24"/>
        </w:rPr>
      </w:pPr>
      <w:r>
        <w:rPr>
          <w:rFonts w:eastAsia="Lucida Sans Unicode"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által, a nem lakáscélú helyiségek bérleti díj módosítására tett javaslat elfogadására</w:t>
      </w:r>
    </w:p>
    <w:p>
      <w:pPr>
        <w:pStyle w:val="Normal"/>
        <w:jc w:val="center"/>
        <w:rPr>
          <w:rFonts w:ascii="Arial" w:hAnsi="Arial" w:eastAsia="Lucida Sans Unicode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eastAsia="Lucida Sans Unicode" w:cs="Arial" w:ascii="Arial" w:hAnsi="Arial"/>
          <w:b/>
          <w:color w:val="auto"/>
          <w:sz w:val="24"/>
          <w:szCs w:val="24"/>
          <w:lang w:val="hu-HU" w:eastAsia="zxx" w:bidi="zxx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Lucida Sans Unicode" w:cs="Arial" w:ascii="Arial" w:hAnsi="Arial"/>
          <w:b/>
          <w:color w:val="auto"/>
          <w:sz w:val="24"/>
          <w:szCs w:val="24"/>
          <w:lang w:val="hu-HU" w:eastAsia="zxx" w:bidi="zxx"/>
        </w:rPr>
        <w:t>Tisztelt</w:t>
      </w:r>
      <w:r>
        <w:rPr>
          <w:rFonts w:eastAsia="Arial" w:cs="Arial" w:ascii="Arial" w:hAnsi="Arial"/>
          <w:b/>
          <w:color w:val="auto"/>
          <w:sz w:val="24"/>
          <w:szCs w:val="24"/>
          <w:lang w:val="hu-HU" w:eastAsia="zxx" w:bidi="zxx"/>
        </w:rPr>
        <w:t xml:space="preserve"> </w:t>
      </w:r>
      <w:r>
        <w:rPr>
          <w:rFonts w:cs="Arial" w:ascii="Arial" w:hAnsi="Arial"/>
          <w:b/>
          <w:color w:val="auto"/>
          <w:sz w:val="24"/>
          <w:szCs w:val="24"/>
          <w:lang w:val="hu-HU" w:eastAsia="zxx" w:bidi="zxx"/>
        </w:rPr>
        <w:t>Közgyűlés!</w:t>
      </w:r>
    </w:p>
    <w:p>
      <w:pPr>
        <w:pStyle w:val="Normal"/>
        <w:jc w:val="both"/>
        <w:rPr>
          <w:rFonts w:ascii="Arial" w:hAnsi="Arial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cs="Arial" w:ascii="Arial" w:hAnsi="Arial"/>
          <w:b/>
          <w:color w:val="auto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eastAsia="Lucida Sans Unicode" w:cs="Tahoma" w:ascii="Arial" w:hAnsi="Arial"/>
          <w:sz w:val="24"/>
          <w:szCs w:val="24"/>
          <w:u w:val="none"/>
        </w:rPr>
        <w:t>Dunaújváros Megyei Jogú Város Önkormányzata és a DVG Zrt. „Együttműködési megállapodást” kötött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 </w:t>
      </w:r>
      <w:r>
        <w:rPr>
          <w:rFonts w:eastAsia="Lucida Sans Unicode" w:cs="Tahoma" w:ascii="Arial" w:hAnsi="Arial"/>
          <w:sz w:val="24"/>
          <w:szCs w:val="24"/>
          <w:u w:val="none"/>
        </w:rPr>
        <w:t>az önkormányzati tulajdonú lakások és nem lakás céljára szolgáló ingatlan</w:t>
      </w:r>
      <w:r>
        <w:rPr>
          <w:rFonts w:eastAsia="Lucida Sans Unicode" w:cs="Tahoma" w:ascii="Arial" w:hAnsi="Arial"/>
          <w:sz w:val="24"/>
          <w:szCs w:val="24"/>
          <w:u w:val="none"/>
        </w:rPr>
        <w:t>ok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, </w:t>
      </w:r>
      <w:r>
        <w:rPr>
          <w:rFonts w:eastAsia="Lucida Sans Unicode" w:cs="Tahoma" w:ascii="Arial" w:hAnsi="Arial"/>
          <w:sz w:val="24"/>
          <w:szCs w:val="24"/>
          <w:u w:val="none"/>
        </w:rPr>
        <w:t>helyiség</w:t>
      </w:r>
      <w:r>
        <w:rPr>
          <w:rFonts w:eastAsia="Lucida Sans Unicode" w:cs="Tahoma" w:ascii="Arial" w:hAnsi="Arial"/>
          <w:sz w:val="24"/>
          <w:szCs w:val="24"/>
          <w:u w:val="none"/>
        </w:rPr>
        <w:t>ek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, valamint az ezekhez tartozó egyéb területek kezelési feladatainak ellátására. 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A 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megállapodás alapján </w:t>
      </w:r>
      <w:r>
        <w:rPr>
          <w:rFonts w:eastAsia="Lucida Sans Unicode" w:cs="Tahoma" w:ascii="Arial" w:hAnsi="Arial"/>
          <w:sz w:val="24"/>
          <w:szCs w:val="24"/>
          <w:u w:val="none"/>
        </w:rPr>
        <w:t>2013. augusztus 29.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 napján kötött </w:t>
      </w:r>
      <w:r>
        <w:rPr>
          <w:rFonts w:eastAsia="Lucida Sans Unicode" w:cs="Tahoma" w:ascii="Arial" w:hAnsi="Arial"/>
          <w:b/>
          <w:bCs/>
          <w:sz w:val="24"/>
          <w:szCs w:val="24"/>
          <w:u w:val="none"/>
        </w:rPr>
        <w:t>megbízási szerződés</w:t>
      </w:r>
      <w:r>
        <w:rPr>
          <w:rFonts w:eastAsia="Lucida Sans Unicode" w:cs="Tahoma"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Lucida Sans Unicode" w:cs="Tahoma" w:ascii="Arial" w:hAnsi="Arial"/>
          <w:sz w:val="24"/>
          <w:szCs w:val="24"/>
          <w:u w:val="none"/>
        </w:rPr>
        <w:t>(</w:t>
      </w:r>
      <w:r>
        <w:rPr>
          <w:rFonts w:eastAsia="Lucida Sans Unicode" w:cs="Tahoma" w:ascii="Arial" w:hAnsi="Arial"/>
          <w:b/>
          <w:bCs/>
          <w:sz w:val="24"/>
          <w:szCs w:val="24"/>
          <w:u w:val="none"/>
        </w:rPr>
        <w:t>1</w:t>
      </w:r>
      <w:r>
        <w:rPr>
          <w:rFonts w:eastAsia="Lucida Sans Unicode" w:cs="Tahoma" w:ascii="Arial" w:hAnsi="Arial"/>
          <w:b/>
          <w:bCs/>
          <w:sz w:val="24"/>
          <w:szCs w:val="24"/>
          <w:u w:val="none"/>
        </w:rPr>
        <w:t>. sz. melléklet</w:t>
      </w:r>
      <w:r>
        <w:rPr>
          <w:rFonts w:eastAsia="Lucida Sans Unicode" w:cs="Tahoma" w:ascii="Arial" w:hAnsi="Arial"/>
          <w:sz w:val="24"/>
          <w:szCs w:val="24"/>
          <w:u w:val="none"/>
        </w:rPr>
        <w:t>)</w:t>
      </w:r>
      <w:r>
        <w:rPr>
          <w:rFonts w:eastAsia="Lucida Sans Unicode" w:cs="Tahoma" w:ascii="Arial" w:hAnsi="Arial"/>
          <w:sz w:val="24"/>
          <w:szCs w:val="24"/>
          <w:u w:val="none"/>
        </w:rPr>
        <w:t xml:space="preserve"> 7.c) pontja szerint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a megbízott feladata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i közé tartozik, többek között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javaslattétel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a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nem lakás céljára szolgáló helyiségek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bérleti díj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ának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 megállapításáról. A társaság az ingatlankezelési feladatokat évi bruttó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7.268.556.-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Ft </w:t>
      </w: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>megbízási díjért látja el.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eastAsia="Lucida Sans Unicode" w:cs="Tahoma" w:ascii="Arial" w:hAnsi="Arial"/>
          <w:b w:val="false"/>
          <w:bCs w:val="false"/>
          <w:sz w:val="24"/>
          <w:szCs w:val="24"/>
          <w:u w:val="none"/>
        </w:rPr>
        <w:t xml:space="preserve">A DVG Zrt. 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DMJV Közgyűlése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109/201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0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 xml:space="preserve">.(III.11.)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KH. számú határozat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ában rögzítettek alapján határozza meg 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>jelenleg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 az ingatlanok bérleti díját (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2. sz. melléklet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). A DVG Zrt. többször jelezte az önkormányzat felé, hogy a bérleti díjakat nem tartja reálisnak, azok többsége, 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>főleg a pincehelyiségek díja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 túl magas összegű.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ind w:left="0" w:right="0" w:hanging="0"/>
        <w:jc w:val="both"/>
        <w:rPr>
          <w:rFonts w:ascii="Arial" w:hAnsi="Arial" w:eastAsia="Lucida Sans Unicode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</w:pPr>
      <w:r>
        <w:rPr>
          <w:rFonts w:eastAsia="Lucida Sans Unicode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DMJV Közgyűlésének </w:t>
      </w:r>
      <w:r>
        <w:rPr>
          <w:rFonts w:eastAsia="Lucida Sans Unicode" w:cs="Arial" w:ascii="Arial" w:hAnsi="Arial"/>
          <w:b/>
          <w:bCs/>
          <w:color w:val="auto"/>
          <w:sz w:val="24"/>
          <w:szCs w:val="24"/>
          <w:u w:val="none"/>
          <w:lang w:val="hu-HU" w:eastAsia="hu-HU" w:bidi="hu-HU"/>
        </w:rPr>
        <w:t>614/2011. (XII.15.) KGY határozata</w:t>
      </w:r>
      <w:r>
        <w:rPr>
          <w:rFonts w:eastAsia="Lucida Sans Unicode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 rendelkezik a nem lakás célú helyiségek hasznosítására vonatkozó koncepcióról, mely szerint az önkormányzat a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DVG Zrt.-t megbízta a kezelésében és a vagyonkezelési osztály kezelésében lévő ingatlanok forgalmi értékbecslése elkészítésével és az ingatlanok társasházak részére történő felajánlásával.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A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 f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elajánlott ingatlanok értékesítésének sikertelensége esetén, vagy az értékesítés nem reális volta esetén a társasházak részére haszonkölcsön szerződés keretében való használat felajánlá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sára  - a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rezsi költség és közös költség használó általi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meg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fizetése mellett -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utasította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 xml:space="preserve"> a DVG Zrt. vezérigazgatóját és igazgatóság elnökét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(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hu-HU" w:eastAsia="hu-HU" w:bidi="hu-HU"/>
        </w:rPr>
        <w:t>3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hu-HU" w:eastAsia="hu-HU" w:bidi="hu-HU"/>
        </w:rPr>
        <w:t>.sz. melléklet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hu-HU" w:bidi="hu-HU"/>
        </w:rPr>
        <w:t>).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A társaság tájékoztatása szerint az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 üres helyiségek többször felajánlásra kerültek a társasházaknak és az ott lakó tulajdonosoknak, de csak kevesen éltek a vásárlási lehetőséggel. Akik bérelni kívánták az ingatlant, általában magasnak találták a bérleti díjat. A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Tisztelt Közgyűlés elé a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 DVG Zrt.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által be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nyújtott, 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a nem lakás cél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jára szolgáló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 xml:space="preserve"> helyiségek bérleti díjának változtatásáról 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szóló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javaslatot terjesztjük 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(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4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 xml:space="preserve">.sz. 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m</w:t>
      </w:r>
      <w:r>
        <w:rPr>
          <w:rFonts w:eastAsia="Lucida Sans Unicode" w:cs="Arial" w:ascii="Arial" w:hAnsi="Arial"/>
          <w:b/>
          <w:bCs/>
          <w:sz w:val="24"/>
          <w:szCs w:val="24"/>
          <w:u w:val="none"/>
        </w:rPr>
        <w:t>elléklet)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,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továbbá javasoljuk a 614/2011.(XII.15.) hatá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r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 xml:space="preserve">ozat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  <w:u w:val="none"/>
        </w:rPr>
        <w:t>7. 8. pontjainak hatályon kívül helyezését, jelen határozat elfogadásának napjától, tekintettel arra, az ingatlanok kiajánlása nem vezetett eredményre a hasznosítás tekintetében.</w:t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A Vagyonkezelési osztály kérte a DVG Zrt.-t, hogy tájékoztassák osztályunkat arról, hogy az általuk javasolt bérleti díjakat mi alapján számolták ki, milyen metódussal, valamint kértük, hogy tájékoztassanak arról is, hogy végeztek-e összehasonlító piackutatást és amennyiben igen, akkor ennek dokumentációját küldjék meg részünkre. A DVG Zrt. megküldte az előkészítő osztály részére az általuk végzett összehasonlító piackutatás dokumentációját (</w:t>
      </w:r>
      <w:r>
        <w:rPr>
          <w:rFonts w:eastAsia="Arial" w:cs="Arial" w:ascii="Arial" w:hAnsi="Arial"/>
          <w:b/>
          <w:bCs/>
          <w:sz w:val="24"/>
          <w:szCs w:val="24"/>
        </w:rPr>
        <w:t>5</w:t>
      </w:r>
      <w:r>
        <w:rPr>
          <w:rFonts w:eastAsia="Arial" w:cs="Arial" w:ascii="Arial" w:hAnsi="Arial"/>
          <w:b/>
          <w:bCs/>
          <w:sz w:val="24"/>
          <w:szCs w:val="24"/>
        </w:rPr>
        <w:t>. sz. melléklet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).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 dokumentáció nem tért ki arra, hogy a bérleti díjak ily módon történő megváltoztatása milyen hatást gyakorol a jelenlegi bérlők vonatkozásában.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7655" w:leader="none"/>
          <w:tab w:val="left" w:pos="8364" w:leader="none"/>
        </w:tabs>
        <w:spacing w:lineRule="atLeast" w:line="240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Lucida Sans Unicode" w:cs="Arial" w:ascii="Arial" w:hAnsi="Arial"/>
          <w:b w:val="false"/>
          <w:bCs w:val="false"/>
          <w:sz w:val="22"/>
          <w:szCs w:val="22"/>
          <w:u w:val="none"/>
        </w:rPr>
        <w:t>Összehasonlításként a jelenlegi és a tervezett bérleti díj táb</w:t>
      </w:r>
      <w:r>
        <w:rPr>
          <w:rFonts w:eastAsia="Lucida Sans Unicode" w:cs="Arial" w:ascii="Arial" w:hAnsi="Arial"/>
          <w:b w:val="false"/>
          <w:bCs w:val="false"/>
          <w:sz w:val="22"/>
          <w:szCs w:val="22"/>
          <w:u w:val="none"/>
        </w:rPr>
        <w:t>la: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Az önkormányzat tulajdonában lévő nem lakáscélú helyiségek tekintetében jelenleg is a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109/2010. (III.11.) határozata szerinti bérleti díjak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vannak hatályban az alábbiak szerint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tbl>
      <w:tblPr>
        <w:tblW w:w="9382" w:type="dxa"/>
        <w:jc w:val="left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37"/>
        <w:gridCol w:w="2127"/>
        <w:gridCol w:w="850"/>
        <w:gridCol w:w="851"/>
        <w:gridCol w:w="850"/>
        <w:gridCol w:w="992"/>
        <w:gridCol w:w="851"/>
        <w:gridCol w:w="850"/>
        <w:gridCol w:w="1374"/>
      </w:tblGrid>
      <w:tr>
        <w:trPr/>
        <w:tc>
          <w:tcPr>
            <w:tcW w:w="9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>Városon belüli elhelyezkedése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           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I.                                         </w:t>
            </w:r>
          </w:p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        </w:t>
            </w: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/év+ áfa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/év + áfa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III.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/év+ áfa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Ssz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Helyiség kategória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Általános rendeltetésű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25 017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14 181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23 194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13 204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19 249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12 357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minden helyiség (üzlet, iroda)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Huzamosabb emberi tartózkodásra nem alkalmas helyiségek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8 480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8 480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8 480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garázsok, stb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 xml:space="preserve">        </w:t>
            </w:r>
            <w:r>
              <w:rPr>
                <w:rFonts w:cs="Times New Roman" w:ascii="Arial" w:hAnsi="Arial"/>
                <w:b/>
                <w:sz w:val="20"/>
                <w:szCs w:val="20"/>
              </w:rPr>
              <w:t>Övezetek</w:t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Duna sor-Építők utja-Szórád M u – Apáczai Cs.J. u által határolt fő közlekedési útvonal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Római városrész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Barátság városrész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Technikumi városrész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Pentele 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és Béke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városrészek -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Kertváros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A DVG Zrt. által javasolt új bérleti díjak: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tbl>
      <w:tblPr>
        <w:tblW w:w="9382" w:type="dxa"/>
        <w:jc w:val="left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37"/>
        <w:gridCol w:w="2258"/>
        <w:gridCol w:w="840"/>
        <w:gridCol w:w="915"/>
        <w:gridCol w:w="855"/>
        <w:gridCol w:w="900"/>
        <w:gridCol w:w="915"/>
        <w:gridCol w:w="780"/>
        <w:gridCol w:w="1282"/>
      </w:tblGrid>
      <w:tr>
        <w:trPr/>
        <w:tc>
          <w:tcPr>
            <w:tcW w:w="9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>Városon belüli elhelyezkedése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           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I.                                         </w:t>
            </w:r>
          </w:p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        </w:t>
            </w: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</w:t>
            </w:r>
            <w:r>
              <w:rPr>
                <w:rFonts w:cs="Times New Roman" w:ascii="Arial" w:hAnsi="Arial"/>
                <w:sz w:val="20"/>
                <w:szCs w:val="20"/>
              </w:rPr>
              <w:t>év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+</w:t>
            </w:r>
            <w:r>
              <w:rPr>
                <w:rFonts w:cs="Times New Roman" w:ascii="Arial" w:hAnsi="Arial"/>
                <w:sz w:val="20"/>
                <w:szCs w:val="20"/>
              </w:rPr>
              <w:t>Áf</w:t>
            </w:r>
            <w:r>
              <w:rPr>
                <w:rFonts w:cs="Times New Roman" w:ascii="Arial" w:hAnsi="Arial"/>
                <w:sz w:val="20"/>
                <w:szCs w:val="20"/>
              </w:rPr>
              <w:t>a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</w:t>
            </w:r>
            <w:r>
              <w:rPr>
                <w:rFonts w:cs="Times New Roman" w:ascii="Arial" w:hAnsi="Arial"/>
                <w:sz w:val="20"/>
                <w:szCs w:val="20"/>
              </w:rPr>
              <w:t>év+</w:t>
            </w:r>
            <w:r>
              <w:rPr>
                <w:rFonts w:cs="Times New Roman" w:ascii="Arial" w:hAnsi="Arial"/>
                <w:sz w:val="20"/>
                <w:szCs w:val="20"/>
              </w:rPr>
              <w:t>Áf</w:t>
            </w:r>
            <w:r>
              <w:rPr>
                <w:rFonts w:cs="Times New Roman" w:ascii="Arial" w:hAnsi="Arial"/>
                <w:sz w:val="20"/>
                <w:szCs w:val="20"/>
              </w:rPr>
              <w:t>a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III.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Ft/m</w:t>
            </w:r>
            <w:r>
              <w:rPr>
                <w:rFonts w:cs="Times New Roman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/</w:t>
            </w:r>
            <w:r>
              <w:rPr>
                <w:rFonts w:cs="Times New Roman" w:ascii="Arial" w:hAnsi="Arial"/>
                <w:sz w:val="20"/>
                <w:szCs w:val="20"/>
              </w:rPr>
              <w:t>év+</w:t>
            </w:r>
            <w:r>
              <w:rPr>
                <w:rFonts w:cs="Times New Roman" w:ascii="Arial" w:hAnsi="Arial"/>
                <w:sz w:val="20"/>
                <w:szCs w:val="20"/>
              </w:rPr>
              <w:t>Áf</w:t>
            </w:r>
            <w:r>
              <w:rPr>
                <w:rFonts w:cs="Times New Roman" w:ascii="Arial" w:hAnsi="Arial"/>
                <w:sz w:val="20"/>
                <w:szCs w:val="20"/>
              </w:rPr>
              <w:t>a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</w:tr>
      <w:tr>
        <w:trPr>
          <w:trHeight w:val="376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Helyiség kategória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fsz/em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pince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Általános rendeltetésű </w:t>
            </w:r>
            <w:r>
              <w:rPr>
                <w:rFonts w:cs="Times New Roman" w:ascii="Arial" w:hAnsi="Arial"/>
                <w:sz w:val="20"/>
                <w:szCs w:val="20"/>
              </w:rPr>
              <w:t>helyiségek- megfelelő állapotú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</w:t>
            </w:r>
            <w:r>
              <w:rPr>
                <w:rFonts w:cs="Times New Roman" w:ascii="Arial" w:hAnsi="Arial"/>
                <w:sz w:val="20"/>
                <w:szCs w:val="20"/>
              </w:rPr>
              <w:t>1 750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9 450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19 850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8 500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</w:t>
            </w:r>
            <w:r>
              <w:rPr>
                <w:rFonts w:cs="Times New Roman" w:ascii="Arial" w:hAnsi="Arial"/>
                <w:sz w:val="20"/>
                <w:szCs w:val="20"/>
              </w:rPr>
              <w:t>7 960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7 560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üzlet, iroda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Általános rendeletetésű  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helyiségek - </w:t>
            </w:r>
            <w:r>
              <w:rPr>
                <w:rFonts w:cs="Times New Roman" w:ascii="Arial" w:hAnsi="Arial"/>
                <w:sz w:val="20"/>
                <w:szCs w:val="20"/>
              </w:rPr>
              <w:t>lelakott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18 900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9 450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</w:t>
            </w:r>
            <w:r>
              <w:rPr>
                <w:rFonts w:cs="Times New Roman" w:ascii="Arial" w:hAnsi="Arial"/>
                <w:sz w:val="20"/>
                <w:szCs w:val="20"/>
              </w:rPr>
              <w:t>7 000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8 500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16 068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7 560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üzlet, iroda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3</w:t>
            </w:r>
            <w:r>
              <w:rPr>
                <w:rFonts w:cs="Times New Roman" w:ascii="Arial" w:hAnsi="Arial"/>
                <w:sz w:val="20"/>
                <w:szCs w:val="20"/>
              </w:rPr>
              <w:t>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Huzamosabb emberi tartózkodásra nem alkalmas helyiségek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4 730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4 730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4 730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Pince helyiségek</w:t>
            </w:r>
          </w:p>
        </w:tc>
      </w:tr>
      <w:tr>
        <w:trPr>
          <w:trHeight w:val="1714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Szvegtrzs"/>
              <w:jc w:val="center"/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Övezetek</w:t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Duna sor-Építők </w:t>
            </w:r>
            <w:r>
              <w:rPr>
                <w:rFonts w:cs="Times New Roman" w:ascii="Arial" w:hAnsi="Arial"/>
                <w:sz w:val="20"/>
                <w:szCs w:val="20"/>
              </w:rPr>
              <w:t>ú</w:t>
            </w:r>
            <w:r>
              <w:rPr>
                <w:rFonts w:cs="Times New Roman" w:ascii="Arial" w:hAnsi="Arial"/>
                <w:sz w:val="20"/>
                <w:szCs w:val="20"/>
              </w:rPr>
              <w:t>tja -Szórád M u. – Apáczai Cs. J. u. által határolt fő közlekedési útvonal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Római városrész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Barátság városrész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Technikumi városrész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Pentele 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és Béke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városrészek 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Kertváros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 DVG Zrt. szerint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 bérleti díjak megállapításánál célszerű lenne egyedi elbírálást is eszközölni, mivel az ingatlanok, mind elhelyezkedésük, mind megközelítésük, mind állapotuk alapján különböznek.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Ezt tükrözi, hogy különvették a megfelelő állapotú és lelakott ingatlanokat az általuk javasolt díjaknál.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Releváns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jogszabályok: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Magyarország helyi önkormányzatairól szóló 2011. évi CLXXXIX. 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13. § (1) bekezdés 9. szerint a helyi közügyek, valamint a helyben biztosítható közfeladatok körében ellátandó helyi önkormányzati feladatok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közé tartozik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a lakás- és helyiséggazdálkodás.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A lakások és helyiségek bérletére, valamint az elidegenítésükre vonatkozó egyes szabályokról szóló 1993. évi LXXVIII. 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36. § (2) bekezdése szerint az önkormányzat tulajdonában lévő helyiség (a továbbiakban: önkormányzati helyiség) bérbeadásának és a bérbeadó hozzájárulásának a feltételeit - az önkormányzati lakásokra vonatkozó szabályok megfelelő alkalmazásával - önkormányzati rendelet határozza meg; a </w:t>
      </w:r>
      <w:r>
        <w:rPr>
          <w:rFonts w:eastAsia="Arial" w:cs="Arial" w:ascii="Arial" w:hAnsi="Arial"/>
          <w:b/>
          <w:bCs/>
          <w:sz w:val="24"/>
          <w:szCs w:val="24"/>
        </w:rPr>
        <w:t>helyiségbér mértékét az önkormányzati rendelet nem szabályozhatja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Az előterjesztést tárgyalta a Gazdasági és Területfejlesztési Bizottság, </w:t>
      </w:r>
      <w:r>
        <w:rPr>
          <w:rFonts w:cs="Arial" w:ascii="Arial" w:hAnsi="Arial"/>
          <w:sz w:val="24"/>
          <w:szCs w:val="24"/>
        </w:rPr>
        <w:t>a Pénzügyi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B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izottság,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valamint a Szociális, Egészségügyi és Lakásügyi Bizottság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A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bizottsági tárgyalást követően az előkészítő osztály észlelte, hogy a határozati javaslat  2. pontjában hibásan szerepel a hatályon kívül helyezés időpontja, tekintettel arra, hogy a az új bértábla csak 2016. január 1. napjától lesz hatályos, de a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109/2010.(III.11.) KH. számú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határozat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jelen határozat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elfogadása napjával kerül hatályon kívül helyezésre, ezért  módosítani szükséges a határozati javaslat úgy, hogy a határozatok hatályon kívül helyezésének időpontja 2016. január 01.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Bizottságok véleménye: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WWAlaprtelmezett"/>
        <w:widowControl w:val="false"/>
        <w:numPr>
          <w:ilvl w:val="0"/>
          <w:numId w:val="2"/>
        </w:numPr>
        <w:tabs>
          <w:tab w:val="left" w:pos="2340" w:leader="none"/>
        </w:tabs>
        <w:suppressAutoHyphens w:val="true"/>
        <w:autoSpaceDE w:val="false"/>
        <w:bidi w:val="0"/>
        <w:spacing w:lineRule="atLeast" w:line="200" w:before="0" w:after="0"/>
        <w:ind w:left="0" w:right="0" w:hanging="0"/>
        <w:jc w:val="both"/>
        <w:rPr>
          <w:rFonts w:ascii="Arial" w:hAnsi="Arial" w:cs="Arial"/>
          <w:position w:val="0"/>
          <w:sz w:val="24"/>
          <w:sz w:val="24"/>
          <w:szCs w:val="24"/>
          <w:vertAlign w:val="baseline"/>
        </w:rPr>
      </w:pPr>
      <w:r>
        <w:rPr>
          <w:rFonts w:cs="Arial" w:ascii="Arial" w:hAnsi="Arial"/>
          <w:position w:val="0"/>
          <w:sz w:val="24"/>
          <w:sz w:val="24"/>
          <w:szCs w:val="24"/>
          <w:vertAlign w:val="baseline"/>
        </w:rPr>
        <w:t>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cs="Arial" w:ascii="Arial" w:hAnsi="Arial"/>
          <w:b/>
          <w:bCs/>
          <w:position w:val="0"/>
          <w:sz w:val="24"/>
          <w:sz w:val="24"/>
          <w:szCs w:val="24"/>
          <w:vertAlign w:val="baseline"/>
        </w:rPr>
        <w:t>Gazdasági</w:t>
      </w:r>
      <w:r>
        <w:rPr>
          <w:rFonts w:eastAsia="Arial" w:cs="Arial" w:ascii="Arial" w:hAnsi="Arial"/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cs="Arial" w:ascii="Arial" w:hAnsi="Arial"/>
          <w:b/>
          <w:bCs/>
          <w:position w:val="0"/>
          <w:sz w:val="24"/>
          <w:sz w:val="24"/>
          <w:szCs w:val="24"/>
          <w:vertAlign w:val="baseline"/>
        </w:rPr>
        <w:t>és</w:t>
      </w:r>
      <w:r>
        <w:rPr>
          <w:rFonts w:eastAsia="Arial" w:cs="Arial" w:ascii="Arial" w:hAnsi="Arial"/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cs="Arial" w:ascii="Arial" w:hAnsi="Arial"/>
          <w:b/>
          <w:bCs/>
          <w:position w:val="0"/>
          <w:sz w:val="24"/>
          <w:sz w:val="24"/>
          <w:szCs w:val="24"/>
          <w:vertAlign w:val="baseline"/>
        </w:rPr>
        <w:t>Területfejlesztési</w:t>
      </w:r>
      <w:r>
        <w:rPr>
          <w:rFonts w:eastAsia="Arial" w:cs="Arial" w:ascii="Arial" w:hAnsi="Arial"/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cs="Arial" w:ascii="Arial" w:hAnsi="Arial"/>
          <w:b/>
          <w:bCs/>
          <w:position w:val="0"/>
          <w:sz w:val="24"/>
          <w:sz w:val="24"/>
          <w:szCs w:val="24"/>
          <w:vertAlign w:val="baseline"/>
        </w:rPr>
        <w:t>Bizottság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a „Javaslat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a DVG Dunaújvárosi Vagyonkezelő Zrt. által, a nem lakáscélú helyiségek bérleti díj módosítására tett javaslat elfogadására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”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hu-HU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hu-HU" w:bidi="hi-IN"/>
        </w:rPr>
        <w:t xml:space="preserve">című </w:t>
      </w:r>
      <w:r>
        <w:rPr>
          <w:rFonts w:eastAsia="Times New Roman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/>
        </w:rPr>
        <w:t>előterjesztést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/>
        </w:rPr>
        <w:t>és a határozati javaslatot elfogadásra javasolja a Közgyűlésnek.</w:t>
      </w:r>
    </w:p>
    <w:p>
      <w:pPr>
        <w:pStyle w:val="WWAlaprtelmezett"/>
        <w:widowControl w:val="false"/>
        <w:numPr>
          <w:ilvl w:val="0"/>
          <w:numId w:val="2"/>
        </w:numPr>
        <w:tabs>
          <w:tab w:val="left" w:pos="2340" w:leader="none"/>
        </w:tabs>
        <w:suppressAutoHyphens w:val="true"/>
        <w:autoSpaceDE w:val="false"/>
        <w:bidi w:val="0"/>
        <w:spacing w:lineRule="atLeast" w:line="20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/>
        </w:rPr>
      </w:pPr>
      <w:r>
        <w:rPr>
          <w:rFonts w:eastAsia="Arial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/>
        </w:rPr>
      </w:r>
    </w:p>
    <w:p>
      <w:pPr>
        <w:pStyle w:val="NormlWeb"/>
        <w:spacing w:before="0" w:after="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rFonts w:cs="Arial" w:ascii="Arial" w:hAnsi="Arial"/>
          <w:position w:val="0"/>
          <w:sz w:val="24"/>
          <w:sz w:val="24"/>
          <w:szCs w:val="24"/>
          <w:vertAlign w:val="baseline"/>
        </w:rPr>
        <w:t xml:space="preserve">Dunaújváros Megyei Jogú Város Közgyűlésének </w:t>
      </w:r>
      <w:r>
        <w:rPr>
          <w:rFonts w:cs="Arial" w:ascii="Arial" w:hAnsi="Arial"/>
          <w:b/>
          <w:bCs/>
          <w:position w:val="0"/>
          <w:sz w:val="24"/>
          <w:sz w:val="24"/>
          <w:szCs w:val="24"/>
          <w:vertAlign w:val="baseline"/>
        </w:rPr>
        <w:t>Szociális, Egészségügyi és Lakásügyi Bizottsága</w:t>
      </w:r>
      <w:r>
        <w:rPr>
          <w:rFonts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megtárgyalta a Javaslat 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  <w:lang w:eastAsia="hu-HU"/>
        </w:rPr>
        <w:t>a DVG Dunaújvárosi Vagyonkezelő Zrt. által, a nem lakáscélú helyiségek bérleti díj módosítására tett javaslat elfogadásáról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szóló előterjesztést és az abban szereplő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közgyűlési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  <w:lang w:eastAsia="zxx"/>
        </w:rPr>
        <w:t>határozat-tervezete</w:t>
      </w:r>
      <w:r>
        <w:rPr>
          <w:rFonts w:eastAsia="Arial" w:cs="Arial" w:ascii="Arial" w:hAnsi="Arial"/>
          <w:color w:val="800000"/>
          <w:position w:val="0"/>
          <w:sz w:val="24"/>
          <w:sz w:val="24"/>
          <w:szCs w:val="24"/>
          <w:vertAlign w:val="baseline"/>
          <w:lang w:eastAsia="zxx"/>
        </w:rPr>
        <w:t xml:space="preserve">t 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  <w:lang w:eastAsia="zxx"/>
        </w:rPr>
        <w:t>támogatásra javasolja a Közgyűlésnek.</w:t>
      </w:r>
    </w:p>
    <w:p>
      <w:pPr>
        <w:pStyle w:val="NormlWeb"/>
        <w:spacing w:before="0" w:after="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Szvegtrzs"/>
        <w:spacing w:lineRule="auto" w:line="240" w:before="0" w:after="283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eastAsia="zxx"/>
        </w:rPr>
        <w:t xml:space="preserve">Dunaújváros Megyei Jogú Város Közgyűlésének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eastAsia="zxx"/>
        </w:rPr>
        <w:t>Pénzügyi Bizottsága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eastAsia="zxx"/>
        </w:rPr>
        <w:t xml:space="preserve"> véleményezte a „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position w:val="0"/>
          <w:sz w:val="24"/>
          <w:sz w:val="24"/>
          <w:szCs w:val="24"/>
          <w:u w:val="none"/>
          <w:vertAlign w:val="baseline"/>
          <w:lang w:val="hu-HU" w:eastAsia="hu-HU" w:bidi="hi-IN"/>
        </w:rPr>
        <w:t xml:space="preserve">Javaslat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 a DVG Dunaújvárosi Vagyonkezelő Zrt. által, a nem lakáscélú helyiségek bérleti díj módosítására tett javaslat elfogadására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”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vonatkozó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 előterjesztést és a határozati javaslatot elfogadásra javasolja a Közgyűlésnek.</w:t>
      </w:r>
    </w:p>
    <w:p>
      <w:pPr>
        <w:pStyle w:val="WWSzvegtrzsbehzssal312"/>
        <w:snapToGrid w:val="false"/>
        <w:ind w:left="0" w:right="0" w:hanging="0"/>
        <w:jc w:val="center"/>
        <w:rPr>
          <w:rFonts w:ascii="Arial" w:hAnsi="Arial" w:eastAsia="Arial" w:cs="Arial"/>
          <w:bCs/>
          <w:i/>
          <w:i/>
          <w:color w:val="000000"/>
          <w:sz w:val="24"/>
          <w:szCs w:val="24"/>
          <w:lang w:eastAsia="hu-HU"/>
        </w:rPr>
      </w:pPr>
      <w:r>
        <w:rPr>
          <w:rFonts w:eastAsia="Arial" w:cs="Arial"/>
          <w:bCs/>
          <w:i/>
          <w:color w:val="000000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fentiek alapján az alábbi határozati javaslatot terjesztjük e</w:t>
      </w:r>
      <w:r>
        <w:rPr>
          <w:rFonts w:cs="Arial" w:ascii="Arial" w:hAnsi="Arial"/>
          <w:sz w:val="24"/>
          <w:szCs w:val="24"/>
        </w:rPr>
        <w:t>lő: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HATÁROZATI JAVASLAT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Dunaújváros Megyei Jogú Város Közgyűlésének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........../201</w:t>
      </w:r>
      <w:r>
        <w:rPr>
          <w:rFonts w:cs="Arial" w:ascii="Arial" w:hAnsi="Arial"/>
          <w:b/>
          <w:bCs/>
          <w:sz w:val="24"/>
          <w:szCs w:val="24"/>
          <w:u w:val="single"/>
        </w:rPr>
        <w:t>5</w:t>
      </w:r>
      <w:r>
        <w:rPr>
          <w:rFonts w:cs="Arial" w:ascii="Arial" w:hAnsi="Arial"/>
          <w:b/>
          <w:bCs/>
          <w:sz w:val="24"/>
          <w:szCs w:val="24"/>
          <w:u w:val="single"/>
        </w:rPr>
        <w:t>. (</w:t>
      </w:r>
      <w:r>
        <w:rPr>
          <w:rFonts w:cs="Arial" w:ascii="Arial" w:hAnsi="Arial"/>
          <w:b/>
          <w:bCs/>
          <w:sz w:val="24"/>
          <w:szCs w:val="24"/>
          <w:u w:val="single"/>
        </w:rPr>
        <w:t>XII.17</w:t>
      </w:r>
      <w:r>
        <w:rPr>
          <w:rFonts w:cs="Arial" w:ascii="Arial" w:hAnsi="Arial"/>
          <w:b/>
          <w:bCs/>
          <w:sz w:val="24"/>
          <w:szCs w:val="24"/>
          <w:u w:val="single"/>
        </w:rPr>
        <w:t>.) határozata</w:t>
      </w:r>
    </w:p>
    <w:p>
      <w:pPr>
        <w:pStyle w:val="Normal"/>
        <w:tabs>
          <w:tab w:val="left" w:pos="345" w:leader="none"/>
        </w:tabs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a DVG Dunaújvárosi Vagyonkezelő Zrt.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által, a nem lakáscélú helyiségek bérleti díj módosítására tett javaslat elfogadására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>1</w:t>
      </w: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Dunaújváros Megyei Jogú Város Közgyűlése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elfogadja a DVG Zrt.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által előkészített,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a nem lakás céljára szolgáló ingatlanok bérleti díját módosító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javaslat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ot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és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201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6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január 01.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napjától a nem lakás céljára szolgáló helyiségek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bérleti díja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a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z alábbi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táblázatban szereplő díj övezetek és kategóriák alkalmazásával kerül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megállapításra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:</w:t>
      </w:r>
    </w:p>
    <w:p>
      <w:pPr>
        <w:pStyle w:val="Normal"/>
        <w:tabs>
          <w:tab w:val="left" w:pos="3015" w:leader="none"/>
          <w:tab w:val="left" w:pos="3298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382" w:type="dxa"/>
        <w:jc w:val="left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37"/>
        <w:gridCol w:w="2258"/>
        <w:gridCol w:w="840"/>
        <w:gridCol w:w="915"/>
        <w:gridCol w:w="855"/>
        <w:gridCol w:w="900"/>
        <w:gridCol w:w="915"/>
        <w:gridCol w:w="780"/>
        <w:gridCol w:w="1282"/>
      </w:tblGrid>
      <w:tr>
        <w:trPr/>
        <w:tc>
          <w:tcPr>
            <w:tcW w:w="9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eastAsia="Arial" w:ascii="Arial" w:hAnsi="Arial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>Városon belüli elhelyezkedése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         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I.                                         </w:t>
            </w:r>
          </w:p>
          <w:p>
            <w:pPr>
              <w:pStyle w:val="Szvegtrzs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       </w:t>
            </w:r>
            <w:r>
              <w:rPr>
                <w:rFonts w:cs="Times New Roman" w:ascii="Arial" w:hAnsi="Arial"/>
                <w:sz w:val="24"/>
                <w:szCs w:val="24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Ft/m</w:t>
            </w:r>
            <w:r>
              <w:rPr>
                <w:rFonts w:cs="Times New Roman"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Arial" w:hAnsi="Arial"/>
                <w:sz w:val="24"/>
                <w:szCs w:val="24"/>
              </w:rPr>
              <w:t>/</w:t>
            </w:r>
            <w:r>
              <w:rPr>
                <w:rFonts w:cs="Times New Roman" w:ascii="Arial" w:hAnsi="Arial"/>
                <w:sz w:val="24"/>
                <w:szCs w:val="24"/>
              </w:rPr>
              <w:t>év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+</w:t>
            </w:r>
            <w:r>
              <w:rPr>
                <w:rFonts w:cs="Times New Roman" w:ascii="Arial" w:hAnsi="Arial"/>
                <w:sz w:val="24"/>
                <w:szCs w:val="24"/>
              </w:rPr>
              <w:t>Áf</w:t>
            </w:r>
            <w:r>
              <w:rPr>
                <w:rFonts w:cs="Times New Roman" w:ascii="Arial" w:hAnsi="Arial"/>
                <w:sz w:val="24"/>
                <w:szCs w:val="24"/>
              </w:rPr>
              <w:t>a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Ft/m</w:t>
            </w:r>
            <w:r>
              <w:rPr>
                <w:rFonts w:cs="Times New Roman"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Arial" w:hAnsi="Arial"/>
                <w:sz w:val="24"/>
                <w:szCs w:val="24"/>
              </w:rPr>
              <w:t>/</w:t>
            </w:r>
            <w:r>
              <w:rPr>
                <w:rFonts w:cs="Times New Roman" w:ascii="Arial" w:hAnsi="Arial"/>
                <w:sz w:val="24"/>
                <w:szCs w:val="24"/>
              </w:rPr>
              <w:t>év+</w:t>
            </w:r>
            <w:r>
              <w:rPr>
                <w:rFonts w:cs="Times New Roman" w:ascii="Arial" w:hAnsi="Arial"/>
                <w:sz w:val="24"/>
                <w:szCs w:val="24"/>
              </w:rPr>
              <w:t>Áf</w:t>
            </w:r>
            <w:r>
              <w:rPr>
                <w:rFonts w:cs="Times New Roman" w:ascii="Arial" w:hAnsi="Arial"/>
                <w:sz w:val="24"/>
                <w:szCs w:val="24"/>
              </w:rPr>
              <w:t>a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III.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Övezet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Ft/m</w:t>
            </w:r>
            <w:r>
              <w:rPr>
                <w:rFonts w:cs="Times New Roman"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Arial" w:hAnsi="Arial"/>
                <w:sz w:val="24"/>
                <w:szCs w:val="24"/>
              </w:rPr>
              <w:t>/</w:t>
            </w:r>
            <w:r>
              <w:rPr>
                <w:rFonts w:cs="Times New Roman" w:ascii="Arial" w:hAnsi="Arial"/>
                <w:sz w:val="24"/>
                <w:szCs w:val="24"/>
              </w:rPr>
              <w:t>év+</w:t>
            </w:r>
            <w:r>
              <w:rPr>
                <w:rFonts w:cs="Times New Roman" w:ascii="Arial" w:hAnsi="Arial"/>
                <w:sz w:val="24"/>
                <w:szCs w:val="24"/>
              </w:rPr>
              <w:t>Áf</w:t>
            </w:r>
            <w:r>
              <w:rPr>
                <w:rFonts w:cs="Times New Roman" w:ascii="Arial" w:hAnsi="Arial"/>
                <w:sz w:val="24"/>
                <w:szCs w:val="24"/>
              </w:rPr>
              <w:t>a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376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Helyiség kategória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fsz/em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pince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fsz/em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pince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fsz/em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pince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Általános rendeltetésű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helyiségek-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megfelelő állapotú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  <w:r>
              <w:rPr>
                <w:rFonts w:cs="Times New Roman" w:ascii="Arial" w:hAnsi="Arial"/>
                <w:sz w:val="24"/>
                <w:szCs w:val="24"/>
              </w:rPr>
              <w:t>1 750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9 450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19 850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8 500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  <w:r>
              <w:rPr>
                <w:rFonts w:cs="Times New Roman" w:ascii="Arial" w:hAnsi="Arial"/>
                <w:sz w:val="24"/>
                <w:szCs w:val="24"/>
              </w:rPr>
              <w:t>7 960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7 560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üzlet, iroda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Általános rendeletetésű  </w:t>
            </w:r>
            <w:r>
              <w:rPr>
                <w:rFonts w:cs="Times New Roman" w:ascii="Arial" w:hAnsi="Arial"/>
                <w:sz w:val="24"/>
                <w:szCs w:val="24"/>
              </w:rPr>
              <w:t>helyiségek -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lelakott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18 900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9 450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  <w:r>
              <w:rPr>
                <w:rFonts w:cs="Times New Roman" w:ascii="Arial" w:hAnsi="Arial"/>
                <w:sz w:val="24"/>
                <w:szCs w:val="24"/>
              </w:rPr>
              <w:t>7 000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8 500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16 068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7 560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üzlet, iroda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  <w:r>
              <w:rPr>
                <w:rFonts w:cs="Times New Roman" w:ascii="Arial" w:hAnsi="Arial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Huzamosabb emberi tartózkodásra nem alkalmas helyiségek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4 730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4 730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4 730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Pince helyiségek</w:t>
            </w:r>
          </w:p>
        </w:tc>
      </w:tr>
      <w:tr>
        <w:trPr>
          <w:trHeight w:val="1714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Szvegtrzs"/>
              <w:jc w:val="center"/>
              <w:rPr>
                <w:rFonts w:ascii="Arial" w:hAnsi="Arial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Övezetek</w:t>
            </w:r>
          </w:p>
          <w:p>
            <w:pPr>
              <w:pStyle w:val="Szvegtrzs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Duna sor-Építők </w:t>
            </w:r>
            <w:r>
              <w:rPr>
                <w:rFonts w:cs="Times New Roman" w:ascii="Arial" w:hAnsi="Arial"/>
                <w:sz w:val="24"/>
                <w:szCs w:val="24"/>
              </w:rPr>
              <w:t>ú</w:t>
            </w:r>
            <w:r>
              <w:rPr>
                <w:rFonts w:cs="Times New Roman" w:ascii="Arial" w:hAnsi="Arial"/>
                <w:sz w:val="24"/>
                <w:szCs w:val="24"/>
              </w:rPr>
              <w:t>tja -Szórád M u. – Apáczai Cs. J. u. által határolt fő közlekedési útvonal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Római városrész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Barátság városrész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Technikumi városrész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Pentele 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és Béke</w:t>
            </w:r>
          </w:p>
          <w:p>
            <w:pPr>
              <w:pStyle w:val="Szvegtrzs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városrészek </w:t>
            </w:r>
          </w:p>
          <w:p>
            <w:pPr>
              <w:pStyle w:val="Szvegtrzs"/>
              <w:spacing w:before="0" w:after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Kertváros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zvegtrzs"/>
              <w:snapToGrid w:val="false"/>
              <w:spacing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 w:cs="Arial"/>
          <w:position w:val="0"/>
          <w:sz w:val="24"/>
          <w:sz w:val="24"/>
          <w:szCs w:val="24"/>
          <w:vertAlign w:val="baseline"/>
        </w:rPr>
      </w:pPr>
      <w:r>
        <w:rPr>
          <w:rFonts w:cs="Arial" w:ascii="Arial" w:hAnsi="Arial"/>
          <w:position w:val="0"/>
          <w:sz w:val="24"/>
          <w:sz w:val="24"/>
          <w:szCs w:val="24"/>
          <w:vertAlign w:val="baseline"/>
        </w:rPr>
        <w:t xml:space="preserve">2.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Dunaújváros Megyei Jogú Város Közgyűlése úgy határoz, hogy a nem lakás céljára szolgáló helyiségek hasznosítása során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a DVG Zrt.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 kizárólag az 1. pontban meghatározott regionális bérleti díjak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alkalma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zására jogosult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, egyúttal Dunaújváros Megyei Jogú Város Közgyűlése 614/2011.(XII.15.) KGY. határozata 7. és 8. pontjait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és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Dunaújváros Megyei Jogú Város Közgyűlése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109/2010.(III.11.) KH.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s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zámú határozatot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 xml:space="preserve">hatályon kívül helyezi,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2016. január 01. napjá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tól.</w:t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 w:cs="Arial"/>
          <w:position w:val="0"/>
          <w:sz w:val="24"/>
          <w:sz w:val="24"/>
          <w:szCs w:val="24"/>
          <w:vertAlign w:val="baseline"/>
        </w:rPr>
      </w:pPr>
      <w:r>
        <w:rPr>
          <w:rFonts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Szvegtrzs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Felelős:</w:t>
      </w:r>
      <w:r>
        <w:rPr>
          <w:rFonts w:ascii="Arial" w:hAnsi="Arial"/>
          <w:sz w:val="24"/>
          <w:szCs w:val="24"/>
        </w:rPr>
        <w:t xml:space="preserve"> - a határozat végrehajtásáért</w:t>
      </w:r>
    </w:p>
    <w:p>
      <w:pPr>
        <w:pStyle w:val="Szvegtrzs2"/>
        <w:jc w:val="left"/>
        <w:rPr>
          <w:rFonts w:ascii="Arial" w:hAnsi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>a polgármester</w:t>
      </w:r>
    </w:p>
    <w:p>
      <w:pPr>
        <w:pStyle w:val="Szvegtrzs2"/>
        <w:jc w:val="left"/>
        <w:rPr>
          <w:rFonts w:ascii="Arial" w:hAnsi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>a DVG Dunaújvárosi Vagyonkezelő Zrt. elnök-vezérigazgatója</w:t>
      </w:r>
    </w:p>
    <w:p>
      <w:pPr>
        <w:pStyle w:val="Szvegtrzs2"/>
        <w:jc w:val="left"/>
        <w:rPr>
          <w:rFonts w:ascii="Arial" w:hAnsi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  <w:t xml:space="preserve">               </w:t>
      </w:r>
      <w:r>
        <w:rPr>
          <w:rFonts w:ascii="Arial" w:hAnsi="Arial"/>
          <w:sz w:val="24"/>
          <w:szCs w:val="24"/>
        </w:rPr>
        <w:t>- a határozat végrehajtásában való közreműködésért</w:t>
      </w:r>
    </w:p>
    <w:p>
      <w:pPr>
        <w:pStyle w:val="Szvegtrzs2"/>
        <w:jc w:val="left"/>
        <w:rPr>
          <w:rFonts w:ascii="Arial" w:hAnsi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agyonkezelési </w:t>
      </w:r>
      <w:r>
        <w:rPr>
          <w:rFonts w:ascii="Arial" w:hAnsi="Arial"/>
          <w:sz w:val="24"/>
          <w:szCs w:val="24"/>
        </w:rPr>
        <w:t>osztály</w:t>
      </w:r>
      <w:r>
        <w:rPr>
          <w:rFonts w:ascii="Arial" w:hAnsi="Arial"/>
          <w:sz w:val="24"/>
          <w:szCs w:val="24"/>
        </w:rPr>
        <w:t>vezetője</w:t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Lucida Sans Unicode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single"/>
          <w:lang w:val="hu-HU" w:eastAsia="zxx" w:bidi="zxx"/>
        </w:rPr>
        <w:t>Határidő</w:t>
      </w: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single"/>
          <w:lang w:val="hu-HU" w:eastAsia="zxx" w:bidi="zxx"/>
        </w:rPr>
        <w:t>: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 - a határozat közlésére: a határozat előkészítő osztályhoz érkezését követő 8 napon belül</w:t>
      </w:r>
    </w:p>
    <w:p>
      <w:pPr>
        <w:pStyle w:val="Normal"/>
        <w:tabs>
          <w:tab w:val="left" w:pos="5580" w:leader="none"/>
        </w:tabs>
        <w:ind w:left="-15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           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Dunaújváros,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 201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5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. 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december 17.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color w:val="auto"/>
          <w:spacing w:val="-2"/>
          <w:position w:val="2"/>
          <w:sz w:val="24"/>
          <w:szCs w:val="24"/>
          <w:lang w:val="hu-HU" w:eastAsia="zxx" w:bidi="zxx"/>
        </w:rPr>
      </w:pPr>
      <w:r>
        <w:rPr>
          <w:rFonts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color w:val="auto"/>
          <w:spacing w:val="-2"/>
          <w:position w:val="2"/>
          <w:sz w:val="24"/>
          <w:szCs w:val="24"/>
          <w:lang w:val="hu-HU" w:eastAsia="zxx" w:bidi="zxx"/>
        </w:rPr>
      </w:pPr>
      <w:r>
        <w:rPr>
          <w:rFonts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26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Hingyi László s.k.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 gazdasági és területfejlesztési bizottság elnöke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Lőrinczi Konrád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s.k.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 szociális, egészségügyi és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lakásügyi bizottság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elnöke</w:t>
            </w:r>
          </w:p>
        </w:tc>
        <w:tc>
          <w:tcPr>
            <w:tcW w:w="4826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Pintér Attila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s.k.</w:t>
            </w:r>
          </w:p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pénzügyi bizottság elnöke</w:t>
            </w:r>
          </w:p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82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Garamon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mallCaps w:val="false"/>
        <w:caps w:val="false"/>
        <w:outline w:val="false"/>
        <w:dstrike w:val="false"/>
        <w:strike w:val="false"/>
        <w:position w:val="1"/>
        <w:sz w:val="22"/>
        <w:spacing w:val="-2"/>
        <w:i w:val="false"/>
        <w:shadow w:val="false"/>
        <w:b/>
        <w:szCs w:val="22"/>
        <w:iCs w:val="false"/>
        <w:bCs/>
        <w:em w:val="none"/>
        <w:rFonts w:ascii="Arial" w:hAnsi="Arial" w:eastAsia="Arial" w:cs="Arial"/>
        <w:color w:val="000000"/>
        <w:lang w:val="hu-HU" w:eastAsia="zxx" w:bidi="hi-I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2"/>
        <w:b/>
        <w:szCs w:val="22"/>
        <w:rFonts w:ascii="Arial" w:hAnsi="Arial" w:cs="Arial"/>
        <w:color w:val="00000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WW8Num4z0">
    <w:name w:val="WW8Num4z0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-2"/>
      <w:position w:val="1"/>
      <w:sz w:val="22"/>
      <w:szCs w:val="22"/>
      <w:em w:val="none"/>
      <w:lang w:val="hu-HU" w:eastAsia="zxx" w:bidi="hi-I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>
      <w:rFonts w:ascii="Arial" w:hAnsi="Arial" w:cs="Arial"/>
      <w:b/>
      <w:color w:val="000000"/>
      <w:sz w:val="22"/>
      <w:szCs w:val="22"/>
    </w:rPr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Bekezdsalapbettpusa">
    <w:name w:val="Bekezdés alapbetűtípusa"/>
    <w:qFormat/>
    <w:rPr/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Garamond" w:hAnsi="Garamond" w:cs="Garamond"/>
      <w:b/>
      <w:bCs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cs="OpenSymbol;Arial Unicode MS"/>
      <w:sz w:val="28"/>
      <w:szCs w:val="20"/>
      <w:u w:val="single"/>
      <w:lang w:val="hu-HU" w:bidi="hi-IN"/>
    </w:rPr>
  </w:style>
  <w:style w:type="paragraph" w:styleId="WWSzvegtrzsbehzssal3">
    <w:name w:val="WW-Szövegtörzs behúzással 3"/>
    <w:basedOn w:val="Normal"/>
    <w:qFormat/>
    <w:pPr>
      <w:spacing w:lineRule="auto" w:line="216"/>
      <w:ind w:left="0" w:right="284" w:firstLine="567"/>
      <w:jc w:val="both"/>
    </w:pPr>
    <w:rPr>
      <w:spacing w:val="-2"/>
      <w:position w:val="2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Lbjegyzet">
    <w:name w:val="Lábjegyze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Szvegtrzs2">
    <w:name w:val="Szövegtörzs 2"/>
    <w:basedOn w:val="Normal"/>
    <w:qFormat/>
    <w:pPr>
      <w:ind w:left="0" w:right="615" w:hanging="0"/>
      <w:jc w:val="both"/>
    </w:pPr>
    <w:rPr/>
  </w:style>
  <w:style w:type="paragraph" w:styleId="WWAlaprtelmezett">
    <w:name w:val="WW-Alapé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hu-HU" w:eastAsia="zh-CN" w:bidi="ar-SA"/>
    </w:rPr>
  </w:style>
  <w:style w:type="paragraph" w:styleId="WWSzvegtrzsbehzssal312">
    <w:name w:val="WW-Szövegtörzs behúzással 312"/>
    <w:basedOn w:val="Normal"/>
    <w:qFormat/>
    <w:pPr>
      <w:ind w:left="0" w:right="0" w:hanging="709"/>
      <w:jc w:val="both"/>
    </w:pPr>
    <w:rPr>
      <w:rFonts w:ascii="Arial" w:hAnsi="Arial" w:cs="Arial"/>
      <w:b/>
      <w:sz w:val="22"/>
      <w:u w:val="single"/>
    </w:rPr>
  </w:style>
  <w:style w:type="paragraph" w:styleId="NormlWeb">
    <w:name w:val="Normál (Web)"/>
    <w:basedOn w:val="WWAlaprtelmezett"/>
    <w:qFormat/>
    <w:pPr>
      <w:widowControl/>
      <w:spacing w:before="100" w:after="119"/>
    </w:pPr>
    <w:rPr>
      <w:lang w:val="hu-HU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17253</TotalTime>
  <Application>LibreOffice/5.0.1.2$Windows_x86 LibreOffice_project/81898c9f5c0d43f3473ba111d7b351050be20261</Application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2014-03-27T09:52:53Z</dcterms:created>
  <dc:language>hu-HU</dc:language>
  <cp:lastPrinted>2015-12-03T11:14:56Z</cp:lastPrinted>
  <dcterms:modified xsi:type="dcterms:W3CDTF">2015-12-10T14:23:48Z</dcterms:modified>
  <cp:revision>29</cp:revision>
</cp:coreProperties>
</file>