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26. napirendhez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„</w:t>
      </w:r>
      <w:r>
        <w:rPr>
          <w:rFonts w:cs="Arial" w:ascii="Arial" w:hAnsi="Arial"/>
          <w:b/>
          <w:bCs/>
          <w:sz w:val="22"/>
          <w:szCs w:val="22"/>
        </w:rPr>
        <w:t>A” változat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cs="Arial" w:ascii="Arial" w:hAnsi="Arial"/>
          <w:b/>
          <w:bCs w:val="false"/>
          <w:color w:val="FF0000"/>
          <w:sz w:val="22"/>
          <w:szCs w:val="22"/>
          <w:u w:val="single"/>
        </w:rPr>
        <w:t xml:space="preserve"> 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…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/2015. (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XII.17.</w:t>
      </w:r>
      <w:r>
        <w:rPr>
          <w:rFonts w:cs="Arial" w:ascii="Arial" w:hAnsi="Arial"/>
          <w:b/>
          <w:bCs w:val="false"/>
          <w:color w:val="000000"/>
          <w:sz w:val="22"/>
          <w:szCs w:val="22"/>
          <w:u w:val="single"/>
        </w:rPr>
        <w:t>)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 xml:space="preserve"> határozata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hangversenyzongora vásárlásáról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1. Dunaújváros Megyei Jogú Város Közgyűlése a Sándor Frigyes Alapfokú Művészeti iskola kezdeményezése alapján úgy dönt, hogy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Yamaha C3 vagy Yamaha C3X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márkájú hangversenyzongorát vásárol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,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amelyre maximum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8.000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E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Ft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+áfát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különít el 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201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6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évi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költségvetésében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0"/>
          <w:u w:val="none"/>
        </w:rPr>
      </w:r>
    </w:p>
    <w:p>
      <w:pPr>
        <w:pStyle w:val="Normal"/>
        <w:widowControl/>
        <w:tabs>
          <w:tab w:val="left" w:pos="-5040" w:leader="none"/>
        </w:tabs>
        <w:suppressAutoHyphens w:val="false"/>
        <w:autoSpaceDE w:val="false"/>
        <w:spacing w:lineRule="atLeast" w:line="100" w:before="0" w:after="120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2. Dunaújváros Megyei Jogú Város Közgyűlése utasítja a jegyzőt, hogy az 1. pontban elhatározottakat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évi költségvetés előkészítése során vegye figyelembe.</w:t>
      </w:r>
    </w:p>
    <w:p>
      <w:pPr>
        <w:pStyle w:val="Normal"/>
        <w:widowControl/>
        <w:tabs>
          <w:tab w:val="left" w:pos="-5040" w:leader="none"/>
        </w:tabs>
        <w:suppressAutoHyphens w:val="false"/>
        <w:autoSpaceDE w:val="false"/>
        <w:spacing w:lineRule="atLeast" w:line="100" w:before="0" w:after="120"/>
        <w:jc w:val="both"/>
        <w:rPr/>
      </w:pPr>
      <w:r>
        <w:rPr>
          <w:rFonts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cs="Arial" w:ascii="Arial" w:hAnsi="Arial"/>
          <w:b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 xml:space="preserve"> - a költségvetés előkészítéséért: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a jegyző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- a költségvetés előkészítésében való közreműködésért: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a költségvetési és pénzügyi osztály vezetője</w:t>
      </w:r>
    </w:p>
    <w:p>
      <w:pPr>
        <w:pStyle w:val="Normal"/>
        <w:widowControl/>
        <w:numPr>
          <w:ilvl w:val="0"/>
          <w:numId w:val="0"/>
        </w:numPr>
        <w:tabs>
          <w:tab w:val="left" w:pos="-5040" w:leader="none"/>
        </w:tabs>
        <w:suppressAutoHyphens w:val="false"/>
        <w:autoSpaceDE w:val="false"/>
        <w:spacing w:lineRule="atLeast" w:line="100" w:before="0" w:after="120"/>
        <w:ind w:left="90" w:right="0" w:hanging="0"/>
        <w:jc w:val="both"/>
        <w:outlineLvl w:val="2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. évi költségvetés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készítésének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időpontja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3.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Dunaújváros Megyei Jogú Város Közgyűlése utasítja a polgármestert, hogy kérjen fel szakértőt   a zongoravásárlás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érdekében,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és a megbízási szerződést terjessze be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oktatási, kulturális, ifjúsági és sportbizottsá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g és az ügyrendi, igazgatási és jogi bizottság elé. A megbízásra fedezetet biztosít 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2015. évi költségvetéséről és végrehajtásának szabályairól szóló 2/2015. (II. 20.) önkormányzati rendelet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5. melléklet „Kulturális, oktatási és ifjúsági feladatok” alcím „dologi kiadások” rovata.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Felelős: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- a határozat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végrehajtásáért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: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  a polgármester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- a határozat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végrehajtásában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való közreműködésért: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 a jogi és szervezési igazgató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Határidő: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2015.december 30.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both"/>
        <w:outlineLvl w:val="2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„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B” változat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cs="Arial" w:ascii="Arial" w:hAnsi="Arial"/>
          <w:b/>
          <w:bCs w:val="false"/>
          <w:color w:val="FF0000"/>
          <w:sz w:val="22"/>
          <w:szCs w:val="22"/>
          <w:u w:val="single"/>
        </w:rPr>
        <w:t xml:space="preserve"> 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…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/2015. (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XII.17.</w:t>
      </w:r>
      <w:r>
        <w:rPr>
          <w:rFonts w:cs="Arial" w:ascii="Arial" w:hAnsi="Arial"/>
          <w:b/>
          <w:bCs w:val="false"/>
          <w:color w:val="000000"/>
          <w:sz w:val="22"/>
          <w:szCs w:val="22"/>
          <w:u w:val="single"/>
        </w:rPr>
        <w:t>)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 xml:space="preserve"> határozata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hangversenyzongora vásárlásáról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Dunaújváros Megyei Jogú Város Közgyűlése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nem kíván hangversenyzongorát vásárolni. 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Felelős: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- a határozat közléséért: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  a polgármester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- a határozat közlésében való közreműködésért: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  a jogi és szervezési igazgató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/>
          <w:b/>
          <w:bCs/>
          <w:color w:val="000000"/>
          <w:sz w:val="22"/>
          <w:szCs w:val="20"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Határidő: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2015.december 30.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Dunaújváros, 2015. december 17.</w:t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elnöke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both"/>
        <w:rPr/>
      </w:pPr>
      <w:r>
        <w:rPr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both"/>
        <w:rPr/>
      </w:pPr>
      <w:r>
        <w:rPr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               </w:t>
        <w:tab/>
        <w:t xml:space="preserve">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 </w:t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 gazdasági és területfejlesztési</w:t>
        <w:tab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      </w:t>
        <w:tab/>
        <w:t xml:space="preserve">  </w:t>
        <w:tab/>
        <w:t xml:space="preserve">    bizottság elnöke</w:t>
        <w:tab/>
        <w:tab/>
        <w:tab/>
        <w:tab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LibreOffice/5.0.1.2$Windows_x86 LibreOffice_project/81898c9f5c0d43f3473ba111d7b351050be20261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2015-12-15T16:36:48Z</dcterms:created>
  <dc:language>hu-HU</dc:language>
  <cp:lastPrinted>2015-12-15T16:38:56Z</cp:lastPrinted>
  <dcterms:modified xsi:type="dcterms:W3CDTF">2015-12-15T16:39:22Z</dcterms:modified>
  <cp:revision>1</cp:revision>
</cp:coreProperties>
</file>