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zvegtrzs"/>
        <w:jc w:val="righ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Kiosztásra 33. napirendi ponthoz</w:t>
      </w:r>
    </w:p>
    <w:p>
      <w:pPr>
        <w:pStyle w:val="Szvegtrzs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Szvegtrzs"/>
        <w:jc w:val="center"/>
        <w:rPr/>
      </w:pPr>
      <w:r>
        <w:rPr>
          <w:rFonts w:eastAsia="Arial" w:cs="Arial" w:ascii="Arial" w:hAnsi="Arial"/>
          <w:sz w:val="24"/>
          <w:szCs w:val="24"/>
        </w:rPr>
        <w:tab/>
        <w:tab/>
      </w:r>
      <w:r>
        <w:rPr>
          <w:rFonts w:eastAsia="Arial" w:cs="Arial" w:ascii="Arial" w:hAnsi="Arial"/>
          <w:b/>
          <w:bCs/>
          <w:sz w:val="24"/>
          <w:szCs w:val="24"/>
        </w:rPr>
        <w:t>III. Határozati javaslat</w:t>
        <w:tab/>
      </w:r>
      <w:r>
        <w:rPr>
          <w:rFonts w:eastAsia="Arial" w:cs="Arial" w:ascii="Arial" w:hAnsi="Arial"/>
          <w:sz w:val="24"/>
          <w:szCs w:val="24"/>
        </w:rPr>
        <w:tab/>
        <w:tab/>
      </w:r>
    </w:p>
    <w:p>
      <w:pPr>
        <w:pStyle w:val="WWAlaprtelmezett"/>
        <w:autoSpaceDE w:val="false"/>
        <w:jc w:val="center"/>
        <w:rPr>
          <w:rFonts w:ascii="Arial" w:hAnsi="Arial" w:cs="Arial"/>
          <w:b/>
          <w:b/>
          <w:bCs/>
          <w:sz w:val="24"/>
          <w:szCs w:val="24"/>
          <w:u w:val="none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Dunaújváros Megyei Jogú Város Közgyűlése</w:t>
      </w:r>
    </w:p>
    <w:p>
      <w:pPr>
        <w:pStyle w:val="WWAlaprtelmezett"/>
        <w:autoSpaceDE w:val="false"/>
        <w:jc w:val="center"/>
        <w:rPr>
          <w:rFonts w:ascii="Arial" w:hAnsi="Arial" w:cs="Arial"/>
          <w:b/>
          <w:b/>
          <w:bCs/>
          <w:sz w:val="24"/>
          <w:szCs w:val="24"/>
          <w:u w:val="none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.../2015. (XII.17.) határozata</w:t>
      </w:r>
    </w:p>
    <w:p>
      <w:pPr>
        <w:pStyle w:val="Szvegtrzs"/>
        <w:jc w:val="center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>a  Városháza tér 1. „C” szárny földszintjén lévő büféhelyiség üzemeltetése</w:t>
      </w:r>
      <w:r>
        <w:rPr>
          <w:rFonts w:eastAsia="Arial" w:cs="Arial" w:ascii="Arial" w:hAnsi="Arial"/>
          <w:b/>
          <w:bCs/>
          <w:i w:val="false"/>
          <w:iCs w:val="false"/>
          <w:color w:val="00000A"/>
          <w:spacing w:val="-2"/>
          <w:position w:val="0"/>
          <w:sz w:val="24"/>
          <w:sz w:val="24"/>
          <w:szCs w:val="24"/>
          <w:u w:val="none"/>
          <w:vertAlign w:val="baseline"/>
          <w:lang w:val="hu-HU" w:eastAsia="hu-HU" w:bidi="hu-HU"/>
        </w:rPr>
        <w:t xml:space="preserve">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>tárgyban üzemeltetési szerződés megkötésére a DVG Dunaújvárosi Vagyonkezelő Zrt.-vel</w:t>
      </w:r>
    </w:p>
    <w:p>
      <w:pPr>
        <w:pStyle w:val="Szvegtrzs"/>
        <w:jc w:val="center"/>
        <w:rPr/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000000"/>
          <w:position w:val="0"/>
          <w:sz w:val="24"/>
          <w:sz w:val="24"/>
          <w:szCs w:val="24"/>
          <w:vertAlign w:val="baseline"/>
          <w:lang w:val="hu-HU" w:eastAsia="hu-HU" w:bidi="hu-HU"/>
        </w:rPr>
      </w:pPr>
      <w:r>
        <w:rPr>
          <w:rFonts w:eastAsia="Arial" w:cs="Arial" w:ascii="Arial" w:hAnsi="Arial"/>
          <w:b w:val="false"/>
          <w:bCs w:val="false"/>
          <w:color w:val="000000"/>
          <w:position w:val="0"/>
          <w:sz w:val="24"/>
          <w:sz w:val="24"/>
          <w:szCs w:val="24"/>
          <w:vertAlign w:val="baseline"/>
          <w:lang w:val="hu-HU" w:eastAsia="hu-HU" w:bidi="hu-HU"/>
        </w:rPr>
        <w:t>1. Dunaújváros Megyei Jogú Város Közgyűlése úgy határoz, hogy a DVG Zrt.-t megbízza a Dunaújváros, Városháza tér 1. „C” szárny földszintjén lévő, büféhelyiség üzemeltetésével 2018. december 31. napjáig, azzal, hogy a DVG Zrt. 500,-/m²/hó bérleti díjat fizet az önkormányzatnak, valamint a DVG Zrt.-t terheli a helyiség fenntartásának rezsi költsége is az alábbiak szerint:</w:t>
      </w:r>
    </w:p>
    <w:p>
      <w:pPr>
        <w:pStyle w:val="Normal"/>
        <w:tabs>
          <w:tab w:val="left" w:pos="11592" w:leader="none"/>
        </w:tabs>
        <w:spacing w:lineRule="atLeast" w:line="260"/>
        <w:ind w:left="-15" w:right="15" w:firstLine="15"/>
        <w:jc w:val="both"/>
        <w:rPr>
          <w:rFonts w:ascii="Arial" w:hAnsi="Arial" w:eastAsia="Arial" w:cs="Arial"/>
          <w:color w:val="auto"/>
          <w:position w:val="2"/>
          <w:sz w:val="24"/>
          <w:szCs w:val="24"/>
          <w:lang w:val="hu-HU" w:eastAsia="zxx" w:bidi="zxx"/>
        </w:rPr>
      </w:pPr>
      <w:r>
        <w:rPr>
          <w:rFonts w:eastAsia="Arial" w:cs="Arial" w:ascii="Arial" w:hAnsi="Arial"/>
          <w:color w:val="auto"/>
          <w:position w:val="2"/>
          <w:sz w:val="24"/>
          <w:szCs w:val="24"/>
          <w:lang w:val="hu-HU" w:eastAsia="zxx" w:bidi="zxx"/>
        </w:rPr>
        <w:t>- szemétszállítási díj bruttó 1.440,- Ft/hó,</w:t>
      </w:r>
    </w:p>
    <w:p>
      <w:pPr>
        <w:pStyle w:val="Normal"/>
        <w:tabs>
          <w:tab w:val="left" w:pos="11592" w:leader="none"/>
        </w:tabs>
        <w:spacing w:lineRule="atLeast" w:line="260"/>
        <w:ind w:left="-15" w:right="15" w:firstLine="15"/>
        <w:jc w:val="both"/>
        <w:rPr>
          <w:rFonts w:ascii="Arial" w:hAnsi="Arial" w:eastAsia="Arial" w:cs="Arial"/>
          <w:color w:val="auto"/>
          <w:position w:val="2"/>
          <w:sz w:val="24"/>
          <w:szCs w:val="24"/>
          <w:lang w:val="hu-HU" w:eastAsia="zxx" w:bidi="zxx"/>
        </w:rPr>
      </w:pPr>
      <w:r>
        <w:rPr>
          <w:rFonts w:eastAsia="Arial" w:cs="Arial" w:ascii="Arial" w:hAnsi="Arial"/>
          <w:color w:val="auto"/>
          <w:position w:val="2"/>
          <w:sz w:val="24"/>
          <w:szCs w:val="24"/>
          <w:lang w:val="hu-HU" w:eastAsia="zxx" w:bidi="zxx"/>
        </w:rPr>
        <w:t>- telefonhasználati díj bruttó 360,- Ft/hó,</w:t>
      </w:r>
    </w:p>
    <w:p>
      <w:pPr>
        <w:pStyle w:val="Normal"/>
        <w:tabs>
          <w:tab w:val="left" w:pos="11592" w:leader="none"/>
        </w:tabs>
        <w:spacing w:lineRule="atLeast" w:line="260"/>
        <w:ind w:left="-15" w:right="15" w:firstLine="15"/>
        <w:jc w:val="both"/>
        <w:rPr>
          <w:rFonts w:ascii="Arial" w:hAnsi="Arial" w:eastAsia="Arial" w:cs="Arial"/>
          <w:color w:val="auto"/>
          <w:position w:val="2"/>
          <w:sz w:val="24"/>
          <w:szCs w:val="24"/>
          <w:lang w:val="hu-HU" w:eastAsia="zxx" w:bidi="zxx"/>
        </w:rPr>
      </w:pPr>
      <w:r>
        <w:rPr>
          <w:rFonts w:eastAsia="Arial" w:cs="Arial" w:ascii="Arial" w:hAnsi="Arial"/>
          <w:color w:val="auto"/>
          <w:position w:val="2"/>
          <w:sz w:val="24"/>
          <w:szCs w:val="24"/>
          <w:lang w:val="hu-HU" w:eastAsia="zxx" w:bidi="zxx"/>
        </w:rPr>
        <w:t xml:space="preserve">- villanyhasználati díj bruttó </w:t>
      </w:r>
      <w:r>
        <w:rPr>
          <w:rFonts w:eastAsia="Arial" w:cs="Arial" w:ascii="Arial" w:hAnsi="Arial"/>
          <w:color w:val="auto"/>
          <w:position w:val="2"/>
          <w:sz w:val="24"/>
          <w:szCs w:val="24"/>
          <w:lang w:val="hu-HU" w:eastAsia="zxx" w:bidi="zxx"/>
        </w:rPr>
        <w:t>1.200</w:t>
      </w:r>
      <w:r>
        <w:rPr>
          <w:rFonts w:eastAsia="Arial" w:cs="Arial" w:ascii="Arial" w:hAnsi="Arial"/>
          <w:color w:val="auto"/>
          <w:position w:val="2"/>
          <w:sz w:val="24"/>
          <w:szCs w:val="24"/>
          <w:lang w:val="hu-HU" w:eastAsia="zxx" w:bidi="zxx"/>
        </w:rPr>
        <w:t>,- Ft/hó,</w:t>
      </w:r>
    </w:p>
    <w:p>
      <w:pPr>
        <w:pStyle w:val="Normal"/>
        <w:tabs>
          <w:tab w:val="left" w:pos="11592" w:leader="none"/>
        </w:tabs>
        <w:spacing w:lineRule="atLeast" w:line="260"/>
        <w:ind w:left="-15" w:right="15" w:firstLine="15"/>
        <w:jc w:val="both"/>
        <w:rPr>
          <w:rFonts w:ascii="Arial" w:hAnsi="Arial" w:eastAsia="Arial" w:cs="Arial"/>
          <w:b w:val="false"/>
          <w:b w:val="false"/>
          <w:bCs w:val="false"/>
          <w:color w:val="auto"/>
          <w:position w:val="2"/>
          <w:sz w:val="24"/>
          <w:szCs w:val="24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color w:val="auto"/>
          <w:position w:val="2"/>
          <w:sz w:val="24"/>
          <w:szCs w:val="24"/>
          <w:lang w:val="hu-HU" w:eastAsia="zxx" w:bidi="zxx"/>
        </w:rPr>
        <w:t xml:space="preserve">- víz- és csatorna díj bruttó </w:t>
      </w:r>
      <w:r>
        <w:rPr>
          <w:rFonts w:eastAsia="Arial" w:cs="Arial" w:ascii="Arial" w:hAnsi="Arial"/>
          <w:b w:val="false"/>
          <w:bCs w:val="false"/>
          <w:color w:val="auto"/>
          <w:position w:val="2"/>
          <w:sz w:val="24"/>
          <w:szCs w:val="24"/>
          <w:lang w:val="hu-HU" w:eastAsia="zxx" w:bidi="zxx"/>
        </w:rPr>
        <w:t>3.000</w:t>
      </w:r>
      <w:r>
        <w:rPr>
          <w:rFonts w:eastAsia="Arial" w:cs="Arial" w:ascii="Arial" w:hAnsi="Arial"/>
          <w:b w:val="false"/>
          <w:bCs w:val="false"/>
          <w:color w:val="auto"/>
          <w:position w:val="2"/>
          <w:sz w:val="24"/>
          <w:szCs w:val="24"/>
          <w:lang w:val="hu-HU" w:eastAsia="zxx" w:bidi="zxx"/>
        </w:rPr>
        <w:t xml:space="preserve">,- Ft/hó. 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3015" w:leader="none"/>
          <w:tab w:val="left" w:pos="3298" w:leader="none"/>
        </w:tabs>
        <w:ind w:left="-15" w:right="60" w:hanging="0"/>
        <w:jc w:val="both"/>
        <w:rPr/>
      </w:pPr>
      <w:r>
        <w:rPr>
          <w:rFonts w:eastAsia="Arial" w:cs="Arial" w:ascii="Arial" w:hAnsi="Arial"/>
          <w:color w:val="000000"/>
          <w:spacing w:val="-2"/>
          <w:position w:val="2"/>
          <w:sz w:val="24"/>
          <w:szCs w:val="24"/>
          <w:lang w:val="hu-HU" w:eastAsia="zxx" w:bidi="zxx"/>
        </w:rPr>
        <w:t xml:space="preserve">2.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Dunaújváros Megyei Jogú Város Közgyűlése felkéri a polgármestert a határozat közlésére, egyúttal felhatalmazza jelen határozat mellékletét képező üzemeltetési szerződés aláírására.</w:t>
      </w:r>
    </w:p>
    <w:p>
      <w:pPr>
        <w:pStyle w:val="Normal"/>
        <w:ind w:left="284" w:right="0" w:hanging="28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color w:val="000000"/>
          <w:sz w:val="24"/>
          <w:szCs w:val="24"/>
          <w:highlight w:val="white"/>
          <w:u w:val="single"/>
        </w:rPr>
        <w:t>Felelős:</w:t>
      </w:r>
      <w:r>
        <w:rPr>
          <w:rFonts w:eastAsia="Arial" w:cs="Arial" w:ascii="Arial" w:hAnsi="Arial"/>
          <w:b/>
          <w:color w:val="000000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-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a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határozat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végrehajtásáért: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       </w:t>
      </w:r>
    </w:p>
    <w:p>
      <w:pPr>
        <w:pStyle w:val="Normal"/>
        <w:shd w:fill="FFFFFF" w:val="clear"/>
        <w:tabs>
          <w:tab w:val="left" w:pos="3894" w:leader="none"/>
          <w:tab w:val="left" w:pos="3923" w:leader="none"/>
          <w:tab w:val="left" w:pos="4043" w:leader="none"/>
          <w:tab w:val="left" w:pos="5939" w:leader="none"/>
        </w:tabs>
        <w:jc w:val="both"/>
        <w:rPr/>
      </w:pPr>
      <w:r>
        <w:rPr>
          <w:rFonts w:eastAsia="Arial" w:cs="Arial" w:ascii="Arial" w:hAnsi="Arial"/>
          <w:b/>
          <w:color w:val="000000"/>
          <w:sz w:val="24"/>
          <w:szCs w:val="24"/>
          <w:highlight w:val="white"/>
        </w:rPr>
        <w:t xml:space="preserve">                 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a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polgármester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                                  </w:t>
      </w:r>
    </w:p>
    <w:p>
      <w:pPr>
        <w:pStyle w:val="Normal"/>
        <w:shd w:fill="FFFFFF" w:val="clear"/>
        <w:tabs>
          <w:tab w:val="left" w:pos="1054" w:leader="none"/>
          <w:tab w:val="left" w:pos="1083" w:leader="none"/>
          <w:tab w:val="left" w:pos="1203" w:leader="none"/>
          <w:tab w:val="left" w:pos="3099" w:leader="none"/>
        </w:tabs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              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-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a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határozat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végrehajtásában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való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közreműködésért:</w:t>
      </w:r>
    </w:p>
    <w:p>
      <w:pPr>
        <w:pStyle w:val="Normal"/>
        <w:shd w:fill="FFFFFF" w:val="clear"/>
        <w:tabs>
          <w:tab w:val="left" w:pos="1054" w:leader="none"/>
          <w:tab w:val="left" w:pos="1083" w:leader="none"/>
          <w:tab w:val="left" w:pos="1203" w:leader="none"/>
          <w:tab w:val="left" w:pos="3099" w:leader="none"/>
        </w:tabs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                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a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DVG. Dunaújvárosi Vagyonkezelő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Zrt.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elnök-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vezérigazgatója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</w:t>
      </w:r>
    </w:p>
    <w:p>
      <w:pPr>
        <w:pStyle w:val="Szvegtrzsbehzsa"/>
        <w:shd w:fill="FFFFFF" w:val="clear"/>
        <w:tabs>
          <w:tab w:val="left" w:pos="2840" w:leader="none"/>
        </w:tabs>
        <w:autoSpaceDE w:val="false"/>
        <w:spacing w:lineRule="atLeast" w:line="100"/>
        <w:rPr/>
      </w:pPr>
      <w:r>
        <w:rPr>
          <w:rFonts w:eastAsia="Arial" w:cs="Arial" w:ascii="Arial" w:hAnsi="Arial"/>
          <w:sz w:val="24"/>
          <w:szCs w:val="24"/>
          <w:highlight w:val="white"/>
        </w:rPr>
        <w:t xml:space="preserve">                 </w:t>
      </w:r>
      <w:r>
        <w:rPr>
          <w:rFonts w:cs="Arial" w:ascii="Arial" w:hAnsi="Arial"/>
          <w:sz w:val="24"/>
          <w:szCs w:val="24"/>
          <w:highlight w:val="white"/>
        </w:rPr>
        <w:t>a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 V</w:t>
      </w:r>
      <w:r>
        <w:rPr>
          <w:rFonts w:cs="Arial" w:ascii="Arial" w:hAnsi="Arial"/>
          <w:sz w:val="24"/>
          <w:szCs w:val="24"/>
          <w:highlight w:val="white"/>
        </w:rPr>
        <w:t>agyonkezelési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 O</w:t>
      </w:r>
      <w:r>
        <w:rPr>
          <w:rFonts w:cs="Arial" w:ascii="Arial" w:hAnsi="Arial"/>
          <w:sz w:val="24"/>
          <w:szCs w:val="24"/>
          <w:highlight w:val="white"/>
        </w:rPr>
        <w:t>sztály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sz w:val="24"/>
          <w:szCs w:val="24"/>
          <w:highlight w:val="white"/>
        </w:rPr>
        <w:t>vezetője</w:t>
      </w:r>
    </w:p>
    <w:p>
      <w:pPr>
        <w:pStyle w:val="Szvegtrzsbehzsa"/>
        <w:shd w:fill="FFFFFF" w:val="clear"/>
        <w:tabs>
          <w:tab w:val="left" w:pos="2840" w:leader="none"/>
        </w:tabs>
        <w:autoSpaceDE w:val="false"/>
        <w:spacing w:lineRule="atLeast" w:line="100"/>
        <w:rPr>
          <w:rFonts w:ascii="Arial" w:hAnsi="Arial" w:eastAsia="Arial" w:cs="Arial"/>
          <w:sz w:val="24"/>
          <w:szCs w:val="24"/>
          <w:highlight w:val="white"/>
        </w:rPr>
      </w:pPr>
      <w:r>
        <w:rPr>
          <w:rFonts w:eastAsia="Arial" w:cs="Arial" w:ascii="Arial" w:hAnsi="Arial"/>
          <w:sz w:val="24"/>
          <w:szCs w:val="24"/>
          <w:highlight w:val="white"/>
        </w:rPr>
        <w:t xml:space="preserve">            </w:t>
      </w:r>
    </w:p>
    <w:p>
      <w:pPr>
        <w:pStyle w:val="Szvegtrzsbehzsa"/>
        <w:shd w:fill="FFFFFF" w:val="clear"/>
        <w:tabs>
          <w:tab w:val="left" w:pos="360" w:leader="none"/>
          <w:tab w:val="left" w:pos="1706" w:leader="none"/>
        </w:tabs>
        <w:autoSpaceDE w:val="false"/>
        <w:spacing w:lineRule="atLeast" w:line="100"/>
        <w:rPr/>
      </w:pPr>
      <w:r>
        <w:rPr>
          <w:rFonts w:cs="Arial" w:ascii="Arial" w:hAnsi="Arial"/>
          <w:b/>
          <w:sz w:val="24"/>
          <w:szCs w:val="24"/>
          <w:highlight w:val="white"/>
          <w:u w:val="single"/>
        </w:rPr>
        <w:t>Határidő</w:t>
      </w:r>
      <w:r>
        <w:rPr>
          <w:rFonts w:cs="Arial" w:ascii="Arial" w:hAnsi="Arial"/>
          <w:sz w:val="24"/>
          <w:szCs w:val="24"/>
          <w:highlight w:val="white"/>
        </w:rPr>
        <w:t>: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  <w:t xml:space="preserve">- a határozat közlésére: a határozat előkészítő osztályhoz érkezését </w:t>
        <w:tab/>
        <w:tab/>
        <w:t xml:space="preserve">             követő 8 napon belül</w:t>
      </w:r>
    </w:p>
    <w:p>
      <w:pPr>
        <w:pStyle w:val="Szvegtrzsbehzsa"/>
        <w:shd w:fill="FFFFFF" w:val="clear"/>
        <w:tabs>
          <w:tab w:val="left" w:pos="360" w:leader="none"/>
          <w:tab w:val="left" w:pos="1706" w:leader="none"/>
        </w:tabs>
        <w:autoSpaceDE w:val="false"/>
        <w:spacing w:lineRule="atLeast" w:line="10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0"/>
          <w:sz w:val="24"/>
          <w:sz w:val="24"/>
          <w:szCs w:val="24"/>
          <w:highlight w:val="white"/>
          <w:u w:val="none"/>
          <w:vertAlign w:val="baseline"/>
          <w:lang w:val="hu-HU" w:eastAsia="hu-HU" w:bidi="hu-HU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0"/>
          <w:sz w:val="24"/>
          <w:sz w:val="24"/>
          <w:szCs w:val="24"/>
          <w:highlight w:val="white"/>
          <w:u w:val="none"/>
          <w:vertAlign w:val="baseline"/>
          <w:lang w:val="hu-HU" w:eastAsia="hu-HU" w:bidi="hu-HU"/>
        </w:rPr>
        <w:t>- a szerződés aláírására: a határozat közlését követő 30 napon belül</w:t>
      </w:r>
    </w:p>
    <w:p>
      <w:pPr>
        <w:pStyle w:val="Szvegtrzsbehzsa"/>
        <w:shd w:fill="FFFFFF" w:val="clear"/>
        <w:tabs>
          <w:tab w:val="left" w:pos="360" w:leader="none"/>
          <w:tab w:val="left" w:pos="1706" w:leader="none"/>
        </w:tabs>
        <w:autoSpaceDE w:val="false"/>
        <w:spacing w:lineRule="atLeast" w:line="10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0"/>
          <w:sz w:val="24"/>
          <w:sz w:val="24"/>
          <w:szCs w:val="24"/>
          <w:highlight w:val="white"/>
          <w:u w:val="none"/>
          <w:vertAlign w:val="baseline"/>
          <w:lang w:val="hu-HU" w:eastAsia="hu-HU" w:bidi="hu-HU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0"/>
          <w:sz w:val="24"/>
          <w:sz w:val="24"/>
          <w:szCs w:val="24"/>
          <w:highlight w:val="white"/>
          <w:u w:val="none"/>
          <w:vertAlign w:val="baseline"/>
          <w:lang w:val="hu-HU" w:eastAsia="hu-HU" w:bidi="hu-HU"/>
        </w:rPr>
      </w:r>
    </w:p>
    <w:p>
      <w:pPr>
        <w:pStyle w:val="Szvegtrzsbehzsa"/>
        <w:shd w:fill="FFFFFF" w:val="clear"/>
        <w:tabs>
          <w:tab w:val="left" w:pos="360" w:leader="none"/>
          <w:tab w:val="left" w:pos="1706" w:leader="none"/>
        </w:tabs>
        <w:autoSpaceDE w:val="false"/>
        <w:spacing w:lineRule="atLeast" w:line="10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0"/>
          <w:sz w:val="24"/>
          <w:sz w:val="24"/>
          <w:szCs w:val="24"/>
          <w:highlight w:val="white"/>
          <w:u w:val="none"/>
          <w:vertAlign w:val="baseline"/>
          <w:lang w:val="hu-HU" w:eastAsia="hu-HU" w:bidi="hu-HU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0"/>
          <w:sz w:val="24"/>
          <w:sz w:val="24"/>
          <w:szCs w:val="24"/>
          <w:highlight w:val="white"/>
          <w:u w:val="none"/>
          <w:vertAlign w:val="baseline"/>
          <w:lang w:val="hu-HU" w:eastAsia="hu-HU" w:bidi="hu-HU"/>
        </w:rPr>
        <w:t>Dunaújváros, 2015. december 17.</w:t>
      </w:r>
    </w:p>
    <w:p>
      <w:pPr>
        <w:pStyle w:val="Szvegtrzsbehzsa"/>
        <w:shd w:fill="FFFFFF" w:val="clear"/>
        <w:tabs>
          <w:tab w:val="left" w:pos="360" w:leader="none"/>
          <w:tab w:val="left" w:pos="1706" w:leader="none"/>
        </w:tabs>
        <w:autoSpaceDE w:val="false"/>
        <w:spacing w:lineRule="atLeast" w:line="10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0"/>
          <w:sz w:val="24"/>
          <w:sz w:val="24"/>
          <w:szCs w:val="24"/>
          <w:highlight w:val="white"/>
          <w:u w:val="none"/>
          <w:vertAlign w:val="baseline"/>
          <w:lang w:val="hu-HU" w:eastAsia="hu-HU" w:bidi="hu-HU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0"/>
          <w:sz w:val="24"/>
          <w:sz w:val="24"/>
          <w:szCs w:val="24"/>
          <w:highlight w:val="white"/>
          <w:u w:val="none"/>
          <w:vertAlign w:val="baseline"/>
          <w:lang w:val="hu-HU" w:eastAsia="hu-HU" w:bidi="hu-HU"/>
        </w:rPr>
      </w:r>
    </w:p>
    <w:p>
      <w:pPr>
        <w:pStyle w:val="Szvegtrzsbehzsa"/>
        <w:shd w:fill="FFFFFF" w:val="clear"/>
        <w:tabs>
          <w:tab w:val="left" w:pos="360" w:leader="none"/>
          <w:tab w:val="left" w:pos="1706" w:leader="none"/>
        </w:tabs>
        <w:autoSpaceDE w:val="false"/>
        <w:spacing w:lineRule="atLeast" w:line="10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0"/>
          <w:sz w:val="24"/>
          <w:sz w:val="24"/>
          <w:szCs w:val="24"/>
          <w:highlight w:val="white"/>
          <w:u w:val="none"/>
          <w:vertAlign w:val="baseline"/>
          <w:lang w:val="hu-HU" w:eastAsia="hu-HU" w:bidi="hu-HU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0"/>
          <w:sz w:val="24"/>
          <w:sz w:val="24"/>
          <w:szCs w:val="24"/>
          <w:highlight w:val="white"/>
          <w:u w:val="none"/>
          <w:vertAlign w:val="baseline"/>
          <w:lang w:val="hu-HU" w:eastAsia="hu-HU" w:bidi="hu-HU"/>
        </w:rPr>
      </w:r>
    </w:p>
    <w:p>
      <w:pPr>
        <w:pStyle w:val="Normal"/>
        <w:rPr/>
      </w:pP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       </w:t>
      </w: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Hingyi László  </w:t>
      </w:r>
      <w:r>
        <w:rPr>
          <w:rFonts w:cs="Arial" w:ascii="Arial" w:hAnsi="Arial"/>
          <w:color w:val="auto"/>
          <w:sz w:val="24"/>
          <w:szCs w:val="24"/>
          <w:lang w:val="hu-HU" w:eastAsia="zxx" w:bidi="ar-SA"/>
        </w:rPr>
        <w:t>s.k.</w:t>
        <w:tab/>
        <w:tab/>
        <w:tab/>
        <w:tab/>
        <w:t>Tóth Kálmán s.k.</w:t>
      </w: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                    </w:t>
      </w:r>
    </w:p>
    <w:p>
      <w:pPr>
        <w:pStyle w:val="Normal"/>
        <w:rPr/>
      </w:pPr>
      <w:r>
        <w:rPr>
          <w:rFonts w:eastAsia="Times New Roman" w:cs="Arial" w:ascii="Arial" w:hAnsi="Arial"/>
          <w:color w:val="auto"/>
          <w:sz w:val="24"/>
          <w:szCs w:val="24"/>
          <w:lang w:val="hu-HU" w:eastAsia="zxx" w:bidi="ar-SA"/>
        </w:rPr>
        <w:t>a</w:t>
      </w: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 </w:t>
      </w:r>
      <w:r>
        <w:rPr>
          <w:rFonts w:cs="Arial" w:ascii="Arial" w:hAnsi="Arial"/>
          <w:color w:val="auto"/>
          <w:sz w:val="24"/>
          <w:szCs w:val="24"/>
          <w:lang w:val="hu-HU" w:eastAsia="zxx" w:bidi="ar-SA"/>
        </w:rPr>
        <w:t>gazdasági</w:t>
      </w: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 </w:t>
      </w:r>
      <w:r>
        <w:rPr>
          <w:rFonts w:cs="Arial" w:ascii="Arial" w:hAnsi="Arial"/>
          <w:color w:val="auto"/>
          <w:sz w:val="24"/>
          <w:szCs w:val="24"/>
          <w:lang w:val="hu-HU" w:eastAsia="zxx" w:bidi="ar-SA"/>
        </w:rPr>
        <w:t>és</w:t>
      </w: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 </w:t>
      </w:r>
      <w:r>
        <w:rPr>
          <w:rFonts w:cs="Arial" w:ascii="Arial" w:hAnsi="Arial"/>
          <w:color w:val="auto"/>
          <w:sz w:val="24"/>
          <w:szCs w:val="24"/>
          <w:lang w:val="hu-HU" w:eastAsia="zxx" w:bidi="ar-SA"/>
        </w:rPr>
        <w:t>területfejlesztési</w:t>
      </w: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                     az ügyrendi, igazgatási és           </w:t>
      </w:r>
      <w:r>
        <w:rPr>
          <w:rFonts w:cs="Arial" w:ascii="Arial" w:hAnsi="Arial"/>
          <w:color w:val="auto"/>
          <w:sz w:val="24"/>
          <w:szCs w:val="24"/>
          <w:lang w:val="hu-HU" w:eastAsia="zxx" w:bidi="ar-SA"/>
        </w:rPr>
        <w:tab/>
      </w: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ab/>
        <w:t xml:space="preserve">bizottság </w:t>
      </w:r>
      <w:r>
        <w:rPr>
          <w:rFonts w:cs="Arial" w:ascii="Arial" w:hAnsi="Arial"/>
          <w:color w:val="auto"/>
          <w:sz w:val="24"/>
          <w:szCs w:val="24"/>
          <w:lang w:val="hu-HU" w:eastAsia="zxx" w:bidi="ar-SA"/>
        </w:rPr>
        <w:t>elnöke</w:t>
        <w:tab/>
        <w:tab/>
        <w:tab/>
        <w:tab/>
        <w:t>jogi bizottság elnöke</w:t>
      </w:r>
    </w:p>
    <w:p>
      <w:pPr>
        <w:pStyle w:val="Normal"/>
        <w:jc w:val="center"/>
        <w:rPr>
          <w:rFonts w:ascii="Arial" w:hAnsi="Arial" w:eastAsia="Arial" w:cs="Arial"/>
          <w:color w:val="auto"/>
          <w:sz w:val="24"/>
          <w:szCs w:val="24"/>
          <w:lang w:val="hu-HU" w:eastAsia="zxx" w:bidi="ar-SA"/>
        </w:rPr>
      </w:pP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                           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                    </w:t>
      </w:r>
      <w:r>
        <w:rPr>
          <w:rFonts w:eastAsia="Times New Roman" w:cs="Arial" w:ascii="Arial" w:hAnsi="Arial"/>
          <w:color w:val="auto"/>
          <w:sz w:val="24"/>
          <w:szCs w:val="24"/>
          <w:lang w:val="hu-HU" w:eastAsia="zxx" w:bidi="ar-SA"/>
        </w:rPr>
        <w:tab/>
        <w:tab/>
        <w:t xml:space="preserve">         Pintér</w:t>
      </w: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 </w:t>
      </w:r>
      <w:r>
        <w:rPr>
          <w:rFonts w:cs="Arial" w:ascii="Arial" w:hAnsi="Arial"/>
          <w:color w:val="auto"/>
          <w:sz w:val="24"/>
          <w:szCs w:val="24"/>
          <w:lang w:val="hu-HU" w:eastAsia="zxx" w:bidi="ar-SA"/>
        </w:rPr>
        <w:t>Attila</w:t>
      </w: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 </w:t>
      </w:r>
      <w:r>
        <w:rPr>
          <w:rFonts w:cs="Arial" w:ascii="Arial" w:hAnsi="Arial"/>
          <w:color w:val="auto"/>
          <w:sz w:val="24"/>
          <w:szCs w:val="24"/>
          <w:lang w:val="hu-HU" w:eastAsia="zxx" w:bidi="ar-SA"/>
        </w:rPr>
        <w:t>s.k.</w:t>
        <w:tab/>
        <w:tab/>
        <w:tab/>
        <w:tab/>
        <w:tab/>
      </w: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   </w:t>
      </w:r>
    </w:p>
    <w:p>
      <w:pPr>
        <w:pStyle w:val="Normal"/>
        <w:shd w:fill="FFFFFF" w:val="clear"/>
        <w:tabs>
          <w:tab w:val="center" w:pos="4896" w:leader="none"/>
          <w:tab w:val="right" w:pos="9432" w:leader="none"/>
        </w:tabs>
        <w:autoSpaceDE w:val="false"/>
        <w:spacing w:lineRule="atLeast" w:line="100"/>
        <w:jc w:val="center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 </w:t>
      </w:r>
      <w:r>
        <w:rPr>
          <w:rFonts w:eastAsia="Times New Roman" w:cs="Arial" w:ascii="Arial" w:hAnsi="Arial"/>
          <w:color w:val="auto"/>
          <w:sz w:val="24"/>
          <w:szCs w:val="24"/>
          <w:lang w:val="hu-HU" w:eastAsia="zxx" w:bidi="ar-SA"/>
        </w:rPr>
        <w:t>a</w:t>
      </w: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 </w:t>
      </w:r>
      <w:r>
        <w:rPr>
          <w:rFonts w:cs="Arial" w:ascii="Arial" w:hAnsi="Arial"/>
          <w:color w:val="auto"/>
          <w:sz w:val="24"/>
          <w:szCs w:val="24"/>
          <w:lang w:val="hu-HU" w:eastAsia="zxx" w:bidi="ar-SA"/>
        </w:rPr>
        <w:t>pénzügyi</w:t>
      </w: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 </w:t>
      </w:r>
      <w:r>
        <w:rPr>
          <w:rFonts w:cs="Arial" w:ascii="Arial" w:hAnsi="Arial"/>
          <w:color w:val="auto"/>
          <w:sz w:val="24"/>
          <w:szCs w:val="24"/>
          <w:lang w:val="hu-HU" w:eastAsia="zxx" w:bidi="ar-SA"/>
        </w:rPr>
        <w:t>bizottság</w:t>
      </w: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 </w:t>
      </w:r>
    </w:p>
    <w:p>
      <w:pPr>
        <w:pStyle w:val="Normal"/>
        <w:shd w:fill="FFFFFF" w:val="clear"/>
        <w:tabs>
          <w:tab w:val="center" w:pos="4896" w:leader="none"/>
          <w:tab w:val="right" w:pos="9432" w:leader="none"/>
        </w:tabs>
        <w:autoSpaceDE w:val="false"/>
        <w:spacing w:lineRule="atLeast" w:line="10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  <w:lang w:val="hu-HU" w:eastAsia="zxx" w:bidi="ar-SA"/>
        </w:rPr>
        <w:t>elnöke</w:t>
      </w:r>
      <w:r>
        <w:rPr>
          <w:rFonts w:eastAsia="Arial" w:cs="Arial" w:ascii="Arial" w:hAnsi="Arial"/>
          <w:color w:val="auto"/>
          <w:sz w:val="24"/>
          <w:szCs w:val="24"/>
          <w:lang w:val="hu-HU" w:eastAsia="zxx" w:bidi="ar-SA"/>
        </w:rPr>
        <w:t xml:space="preserve">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Szvegtrzsbehzsa">
    <w:name w:val="Szövegtörzs behúzása"/>
    <w:basedOn w:val="Normal"/>
    <w:pPr>
      <w:widowControl w:val="false"/>
      <w:tabs>
        <w:tab w:val="left" w:pos="1346" w:leader="none"/>
      </w:tabs>
      <w:suppressAutoHyphens w:val="true"/>
      <w:spacing w:lineRule="atLeast" w:line="200"/>
      <w:jc w:val="both"/>
    </w:pPr>
    <w:rPr>
      <w:sz w:val="24"/>
      <w:lang w:eastAsia="hu-HU"/>
    </w:rPr>
  </w:style>
  <w:style w:type="paragraph" w:styleId="WWAlaprtelmezett">
    <w:name w:val="WW-Alapértelmezett"/>
    <w:qFormat/>
    <w:pPr>
      <w:widowControl/>
      <w:tabs>
        <w:tab w:val="left" w:pos="709" w:leader="none"/>
      </w:tabs>
      <w:suppressAutoHyphens w:val="true"/>
      <w:kinsoku w:val="true"/>
      <w:overflowPunct w:val="true"/>
      <w:autoSpaceDE w:val="true"/>
      <w:bidi w:val="0"/>
      <w:spacing w:lineRule="atLeast" w:line="100"/>
    </w:pPr>
    <w:rPr>
      <w:rFonts w:ascii="Times New Roman" w:hAnsi="Times New Roman" w:eastAsia="Arial" w:cs="Times New Roman"/>
      <w:color w:val="auto"/>
      <w:sz w:val="24"/>
      <w:szCs w:val="20"/>
      <w:lang w:val="hu-HU" w:eastAsia="zxx" w:bidi="hi-IN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LibreOffice/5.0.1.2$Windows_x86 LibreOffice_project/81898c9f5c0d43f3473ba111d7b351050be20261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2015-12-16T11:18:32Z</dcterms:created>
  <dc:language>hu-HU</dc:language>
  <dcterms:modified xsi:type="dcterms:W3CDTF">2015-12-16T11:20:06Z</dcterms:modified>
  <cp:revision>1</cp:revision>
</cp:coreProperties>
</file>