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w:t>Az előterjesztés tárgyalásának napja: 201</w:t>
      </w:r>
      <w:r>
        <w:rPr>
          <w:rFonts w:ascii="Arial" w:hAnsi="Arial"/>
          <w:b/>
          <w:sz w:val="26"/>
        </w:rPr>
        <w:t>6. február 18.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 xml:space="preserve">Javaslat </w:t>
      </w:r>
      <w:r>
        <w:rPr>
          <w:rFonts w:ascii="Arial" w:hAnsi="Arial"/>
          <w:b/>
          <w:color w:val="000000"/>
          <w:sz w:val="26"/>
        </w:rPr>
        <w:t>az Intercisa Múzeum kiállításokra vonatkozó, előirányzat-növeléssel járó kérelmének elbírálására</w:t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Előadók:</w:t>
      </w:r>
      <w:r>
        <w:rPr>
          <w:rFonts w:ascii="Arial" w:hAnsi="Arial"/>
        </w:rPr>
        <w:tab/>
      </w:r>
      <w:r>
        <w:rPr>
          <w:rFonts w:ascii="Arial" w:hAnsi="Arial"/>
          <w:color w:val="000000"/>
        </w:rPr>
        <w:t>az 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cs="Arial" w:ascii="Arial" w:hAnsi="Arial"/>
          <w:color w:val="000000"/>
        </w:rPr>
        <w:t>a 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dr. </w:t>
      </w:r>
      <w:r>
        <w:rPr>
          <w:rFonts w:cs="Arial" w:ascii="Arial" w:hAnsi="Arial"/>
          <w:b w:val="false"/>
          <w:bCs w:val="false"/>
          <w:sz w:val="24"/>
          <w:szCs w:val="24"/>
        </w:rPr>
        <w:t>László Borbála, igazgató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 w:val="false"/>
          <w:bCs w:val="false"/>
          <w:color w:val="000000"/>
        </w:rPr>
        <w:t>Bokor Zsuzsanna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kulturális </w:t>
      </w:r>
      <w:r>
        <w:rPr>
          <w:rFonts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  <w:b/>
        </w:rPr>
        <w:tab/>
      </w:r>
      <w:r>
        <w:rPr>
          <w:rFonts w:ascii="Arial" w:hAnsi="Arial"/>
          <w:b w:val="false"/>
          <w:bCs w:val="false"/>
          <w:color w:val="000000"/>
          <w:sz w:val="24"/>
          <w:szCs w:val="24"/>
          <w:lang w:eastAsia="hu-HU"/>
        </w:rPr>
        <w:t>Farkas Lajos, az Intercisa Múzeum igazgatója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lang w:eastAsia="hu-HU"/>
        </w:rPr>
      </w:pPr>
      <w:r>
        <w:rPr>
          <w:rFonts w:ascii="Arial" w:hAnsi="Arial"/>
          <w:color w:val="000000"/>
          <w:lang w:eastAsia="hu-HU"/>
        </w:rPr>
        <w:tab/>
      </w:r>
    </w:p>
    <w:p>
      <w:pPr>
        <w:pStyle w:val="Normal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16.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</w:t>
      </w:r>
      <w:r>
        <w:rPr>
          <w:rFonts w:cs="Arial" w:ascii="Arial" w:hAnsi="Arial"/>
          <w:color w:val="000000"/>
        </w:rPr>
        <w:t>02.</w:t>
      </w:r>
      <w:r>
        <w:rPr>
          <w:rFonts w:cs="Arial" w:ascii="Arial" w:hAnsi="Arial"/>
          <w:color w:val="000000"/>
        </w:rPr>
        <w:t>16.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2.1</w:t>
      </w:r>
      <w:r>
        <w:rPr>
          <w:rFonts w:cs="Arial" w:ascii="Arial" w:hAnsi="Arial"/>
          <w:color w:val="000000"/>
        </w:rPr>
        <w:t>6.</w:t>
      </w:r>
    </w:p>
    <w:p>
      <w:pPr>
        <w:pStyle w:val="Standard"/>
        <w:tabs>
          <w:tab w:val="left" w:pos="709" w:leader="none"/>
          <w:tab w:val="left" w:pos="2340" w:leader="none"/>
        </w:tabs>
        <w:autoSpaceDE w:val="false"/>
        <w:jc w:val="both"/>
        <w:rPr>
          <w:rFonts w:ascii="Arial" w:hAnsi="Arial" w:eastAsia="Times New Roman" w:cs="Arial"/>
          <w:color w:val="000000"/>
          <w:lang w:eastAsia="hu-HU"/>
        </w:rPr>
      </w:pPr>
      <w:r>
        <w:rPr>
          <w:rFonts w:eastAsia="Times New Roman" w:cs="Arial" w:ascii="Arial" w:hAnsi="Arial"/>
          <w:color w:val="000000"/>
          <w:lang w:eastAsia="hu-HU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A napirendi pont rövid tartalma: </w:t>
      </w:r>
      <w:r>
        <w:rPr>
          <w:rFonts w:ascii="Arial" w:hAnsi="Arial"/>
          <w:b w:val="false"/>
          <w:bCs w:val="false"/>
          <w:u w:val="none"/>
        </w:rPr>
        <w:t>Az Intercisa Múzeum ebben az évben két nagy horderejű, nemzetközi kiállítást szervez, a szerb királyi ékszerekről, ill. a katyni vérengzésről. Az igazgató az intézmény előirányzatának megnövelését kéri 2 M Ft-tal, utólagos elszámolással.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Osztály neve:</w:t>
        <w:tab/>
      </w:r>
      <w:r>
        <w:rPr>
          <w:rFonts w:ascii="Arial" w:hAnsi="Arial"/>
          <w:color w:val="000000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5221-2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6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Előkészítő aláírása:                      </w:t>
        <w:tab/>
        <w:t xml:space="preserve"> </w:t>
      </w:r>
      <w:r>
        <w:rPr>
          <w:rFonts w:ascii="Arial" w:hAnsi="Arial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Igazgató / Osztályvezető aláírása: </w:t>
        <w:tab/>
        <w:t xml:space="preserve"> dr. </w:t>
      </w:r>
      <w:r>
        <w:rPr>
          <w:rFonts w:ascii="Arial" w:hAnsi="Arial"/>
        </w:rPr>
        <w:t>László Borbála sk.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ellenőrzést végző személy:</w:t>
        <w:tab/>
      </w:r>
      <w:r>
        <w:rPr>
          <w:rFonts w:ascii="Arial" w:hAnsi="Arial"/>
          <w:color w:val="000000"/>
        </w:rPr>
        <w:t xml:space="preserve">dr. </w:t>
      </w:r>
      <w:r>
        <w:rPr>
          <w:rFonts w:ascii="Arial" w:hAnsi="Arial"/>
          <w:color w:val="000000"/>
        </w:rPr>
        <w:t xml:space="preserve">Horváth Petra </w:t>
      </w:r>
      <w:r>
        <w:rPr>
          <w:rFonts w:ascii="Arial" w:hAnsi="Arial"/>
          <w:color w:val="000000"/>
        </w:rPr>
        <w:t>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Leadás dátuma:</w:t>
        <w:tab/>
        <w:t>201</w:t>
      </w:r>
      <w:r>
        <w:rPr>
          <w:rFonts w:ascii="Arial" w:hAnsi="Arial"/>
        </w:rPr>
        <w:t>6.02.04.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Ellenőrzés dátuma:</w:t>
        <w:tab/>
        <w:t>201</w:t>
      </w:r>
      <w:r>
        <w:rPr>
          <w:rFonts w:ascii="Arial" w:hAnsi="Arial"/>
        </w:rPr>
        <w:t>6.02.04.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észrevétel:</w:t>
        <w:tab/>
        <w:t>van/</w:t>
      </w:r>
      <w:r>
        <w:rPr>
          <w:rFonts w:ascii="Arial" w:hAnsi="Arial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Az elfogadáshoz szükséges szavazati arány:            </w:t>
      </w:r>
      <w:r>
        <w:rPr>
          <w:rFonts w:ascii="Arial" w:hAnsi="Arial"/>
          <w:color w:val="000000"/>
          <w:u w:val="single"/>
        </w:rPr>
        <w:t>egyszerű</w:t>
      </w:r>
      <w:r>
        <w:rPr>
          <w:rFonts w:ascii="Arial" w:hAnsi="Arial"/>
          <w:color w:val="000000"/>
        </w:rPr>
        <w:t xml:space="preserve"> 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  <w:sz w:val="28"/>
          <w:u w:val="single"/>
        </w:rPr>
        <w:t>A tárgyalás módja:</w:t>
      </w:r>
      <w:r>
        <w:rPr>
          <w:rFonts w:ascii="Arial" w:hAnsi="Arial"/>
          <w:sz w:val="28"/>
        </w:rPr>
        <w:tab/>
      </w:r>
      <w:r>
        <w:rPr>
          <w:rFonts w:ascii="Arial" w:hAnsi="Arial"/>
          <w:color w:val="000000"/>
          <w:sz w:val="28"/>
        </w:rPr>
        <w:t>Nyílt</w:t>
      </w:r>
      <w:r>
        <w:rPr>
          <w:rFonts w:ascii="Arial" w:hAnsi="Arial"/>
          <w:color w:val="000080"/>
          <w:sz w:val="28"/>
        </w:rPr>
        <w:t xml:space="preserve"> </w:t>
      </w:r>
      <w:r>
        <w:rPr>
          <w:rFonts w:ascii="Arial" w:hAnsi="Arial"/>
          <w:sz w:val="28"/>
        </w:rPr>
        <w:t>ülés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color w:val="000000"/>
          <w:sz w:val="22"/>
          <w:u w:val="single"/>
        </w:rPr>
        <w:t xml:space="preserve">Egyéb megjegyzések: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u w:val="none"/>
        </w:rPr>
        <w:t xml:space="preserve"> 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A költségvetési rendeletről szóló napirend után tárgyal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ható.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 xml:space="preserve"> Bokor</w:t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u w:val="none"/>
        </w:rPr>
        <w:t>L. Dudás Pálné 2015.02.05.</w:t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u w:val="none"/>
        </w:rPr>
      </w:pPr>
      <w:r>
        <w:rPr/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u w:val="none"/>
        </w:rPr>
      </w:pPr>
      <w:r>
        <w:rPr/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u w:val="none"/>
        </w:rPr>
      </w:pPr>
      <w:r>
        <w:rPr/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u w:val="none"/>
        </w:rPr>
      </w:pPr>
      <w:r>
        <w:rPr/>
      </w:r>
    </w:p>
    <w:p>
      <w:pPr>
        <w:pStyle w:val="Normal"/>
        <w:jc w:val="center"/>
        <w:rPr/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JAVASLAT </w:t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az Intercisa Múzeum kiállításokra vonatkozó, előirányzat-növeléssel járó kérelmének elbírálására</w:t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Tisztelt Közgyűlés!</w:t>
      </w:r>
    </w:p>
    <w:p>
      <w:pPr>
        <w:pStyle w:val="Normal"/>
        <w:jc w:val="both"/>
        <w:rPr>
          <w:rStyle w:val="Ershangslyozs"/>
          <w:b/>
          <w:b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Farkas Lajos, az Intercisa Múzeum igazgatója kérelmet nyújtott be Dunaújváros polgármesteréhez: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ebben az évben két nagy horderejű, nemzetközi kiállítást szervez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nek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,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egyiket a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szerb királyi ékszerekről, ill. 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másikat a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katyńi vérengzésről.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katyńi vérengzés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t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z SZKP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Központi Bizottság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1940. március 5-én hozott döntése alapján hajtották végre a Szovjetunió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területén lévő hadifogolytáborokban raboskodó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lengyel tisztek és főtisztek ellen.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áldozatok számát a különböző becslések 15 és 22 ezer fő közé teszik.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)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Ezt a kiállítást márciusban nyitják meg.</w:t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Style w:val="Ershangslyozs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igazgató az intézmény előirányzatának megnövelését kéri 2 M Ft-tal,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amit kimondottan ezekkel a kiállításokkal kapcsolatos költségekre fordítanának, amennyiben valamelyik kiállítás elmaradna, akkor nem használják fel 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teljes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összeget. </w:t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Ez úgy oldható meg, hogy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az intézmény az összeget elkülönítetten kezeli, és a felhasználásáról szakmai beszámolót és pénzügyi összesítést küld a polgármesternek, ami az önkormányzat az SZMSZ-ében a támogatások elszámolására vonatkozó eljárásrend szerint kerül elfogadásra, azaz a gazdasági és területfejlesztési bizottság, és 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A"/>
          <w:spacing w:val="-2"/>
          <w:position w:val="2"/>
          <w:sz w:val="22"/>
          <w:szCs w:val="22"/>
          <w:u w:val="none"/>
          <w:lang w:val="hu-HU" w:eastAsia="hu-HU" w:bidi="zxx"/>
        </w:rPr>
        <w:t xml:space="preserve">oktatási, kulturális, ifjúsági és sportbizottság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A"/>
          <w:spacing w:val="-2"/>
          <w:position w:val="2"/>
          <w:sz w:val="22"/>
          <w:szCs w:val="22"/>
          <w:u w:val="none"/>
          <w:lang w:val="hu-HU" w:eastAsia="hu-HU" w:bidi="zxx"/>
        </w:rPr>
        <w:t>véleményének kikérésével, polgármesteri határozattal.</w:t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Támogató döntés esetén az intézményi előirányzat megnövelésének forrása a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2016. évi 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költségvetési rendelet 5.b. melléklet „Intézményi tartalék” sora lehet.</w:t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előterjesztést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oktatási, kulturális, ifjúsági és sportbizottság, a pénzügyi bizottság,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valamint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a gazdasági és területfejlesztési bizottság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közgyűlési előterjesztések postázása után tárgyalta, a bizottsági vélemények ismertetésére a közgyűlés ülésén, szóban kerül sor.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fentiek alapján alternatív határozati javaslatot terjesztünk be, amelyből az „A” változat támogató, a „B” változat elutasító: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2"/>
          <w:szCs w:val="22"/>
          <w:lang w:eastAsia="hu-HU"/>
        </w:rPr>
      </w:pP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A” változat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…</w:t>
      </w:r>
      <w:r>
        <w:rPr>
          <w:rFonts w:cs="Arial" w:ascii="Arial" w:hAnsi="Arial"/>
          <w:b/>
          <w:bCs/>
          <w:sz w:val="22"/>
          <w:szCs w:val="22"/>
          <w:u w:val="single"/>
        </w:rPr>
        <w:t>/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2016.(II.18.) határozata 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6"/>
          <w:szCs w:val="22"/>
          <w:u w:val="single"/>
        </w:rPr>
      </w:pP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az Intercisa Múzeum kiállításokra vonatkozó, előirányzat-növeléssel járó kérelmének elbírálásár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ól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1. Dunaújváros Megyei Jogú Város Közgyűlése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az Intercisa Múzeum önkormányzati támogatását 2.000.000,- Ft-tal megemeli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tárgyévben tervezett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szerb királyi ékszerek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et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ill.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katyńi vérengzés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t  bemutató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múzeumi kiállítás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ok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rendezése érdekében,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. évi költségvetési rendelet 5.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b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 melléklet „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Intézményi tartalék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”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 xml:space="preserve">sor terhére,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position w:val="2"/>
          <w:sz w:val="22"/>
          <w:szCs w:val="22"/>
          <w:u w:val="none"/>
          <w:lang w:val="hu-HU" w:eastAsia="hu-HU" w:bidi="zxx"/>
        </w:rPr>
        <w:t>azzal, hogy az intézmény ezt az összeget elkülönítetten köteles kezelni, és felhasználásáról 2016. december 31-éig köteles szakmai beszámolót és pénzügyi összesítést küldeni a polgármesternek, ami az önkormányzat SZMSZ-ében a támogatások elszámolására vonatkozó eljárásrend szerint kerül elfogadásra.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közléséért: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közlésében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végrehajtásáért: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az Intercisa Múzeum igazgatója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közlésére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6.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február 29.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a határozat végrehajtására: 2016. december 3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0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/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. évi költségvetési rendelet következő módosítása során vegye figyelembe.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</w:p>
    <w:p>
      <w:pPr>
        <w:pStyle w:val="Szvegtrzs"/>
        <w:tabs>
          <w:tab w:val="left" w:pos="75" w:leader="none"/>
          <w:tab w:val="left" w:pos="709" w:leader="none"/>
        </w:tabs>
        <w:spacing w:before="0" w:after="0"/>
        <w:ind w:left="135" w:right="0" w:firstLine="15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Felelős: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     - a költségvetés módosításáért: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- a költségvetés módosításában való közreműködésért: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az adó, költségvetési és pénzügyi osztály vezetője</w:t>
      </w:r>
      <w:r>
        <w:rPr>
          <w:rFonts w:ascii="Arial" w:hAnsi="Arial"/>
          <w:sz w:val="22"/>
          <w:szCs w:val="22"/>
        </w:rPr>
        <w:tab/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</w:t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 xml:space="preserve">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 xml:space="preserve">Határidő: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>6.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évi költségvetés módosításának időpontja</w:t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Style w:val="Ershangslyozs"/>
          <w:rFonts w:eastAsia="Arial" w:cs="Arial"/>
          <w:b w:val="false"/>
          <w:b w:val="false"/>
          <w:bCs w:val="false"/>
          <w:lang w:bidi="ar-SA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sz w:val="22"/>
          <w:u w:val="none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42"/>
          <w:sz w:val="26"/>
          <w:szCs w:val="22"/>
          <w:u w:val="single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B</w:t>
      </w: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” változat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…</w:t>
      </w:r>
      <w:r>
        <w:rPr>
          <w:rFonts w:cs="Arial" w:ascii="Arial" w:hAnsi="Arial"/>
          <w:b/>
          <w:bCs/>
          <w:sz w:val="22"/>
          <w:szCs w:val="22"/>
          <w:u w:val="single"/>
        </w:rPr>
        <w:t>/</w:t>
      </w:r>
      <w:r>
        <w:rPr>
          <w:rFonts w:cs="Arial" w:ascii="Arial" w:hAnsi="Arial"/>
          <w:b/>
          <w:bCs/>
          <w:sz w:val="22"/>
          <w:szCs w:val="22"/>
          <w:u w:val="single"/>
        </w:rPr>
        <w:t>2016.(II.18.) határozata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6"/>
          <w:szCs w:val="22"/>
          <w:u w:val="single"/>
        </w:rPr>
      </w:pP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6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az Intercisa Múzeum kiállításokra vonatkozó, előirányzat-növeléssel járó kérelmének elbírálásár</w:t>
      </w:r>
      <w:r>
        <w:rPr>
          <w:rStyle w:val="Ershangslyozs"/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ól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pacing w:val="42"/>
          <w:sz w:val="22"/>
          <w:szCs w:val="22"/>
          <w:u w:val="singl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42"/>
          <w:sz w:val="22"/>
          <w:szCs w:val="22"/>
          <w:u w:val="none"/>
          <w:lang w:eastAsia="hu-HU"/>
        </w:rPr>
        <w:t xml:space="preserve"> </w:t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1. Dunaújváros Megyei Jogú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z Intercisa Múzeum igazgatójának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tervezett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szerb királyi ékszerek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et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ill.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katyńi vérengzés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t bemutató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múzeumi kiállítás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ok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rendezés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i költsége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érdekében benyújtott kérelmé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ről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úgy dönt, hogy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nem növeli meg az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intézmény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önkormányzati támogatását.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közléséért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közlésében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6.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február 29.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auto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6. </w:t>
      </w:r>
      <w:r>
        <w:rPr>
          <w:rFonts w:eastAsia="Arial" w:cs="Arial" w:ascii="Arial" w:hAnsi="Arial"/>
          <w:color w:val="000000"/>
          <w:sz w:val="22"/>
          <w:szCs w:val="22"/>
        </w:rPr>
        <w:t>február 18.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ab/>
        <w:tab/>
        <w:t>a gazdasági és területfejlesztési</w:t>
        <w:tab/>
        <w:tab/>
        <w:t xml:space="preserve">            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ab/>
        <w:t xml:space="preserve">    bizottság elnöke</w:t>
        <w:tab/>
        <w:tab/>
        <w:tab/>
        <w:t xml:space="preserve">       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">
    <w:name w:val="Bekezdés alapbetűtípusa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Application>LibreOffice/5.0.1.2$Windows_x86 LibreOffice_project/81898c9f5c0d43f3473ba111d7b351050be20261</Application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2016-02-04T09:09:53Z</dcterms:created>
  <dc:language>hu-HU</dc:language>
  <cp:lastPrinted>2016-02-04T10:27:30Z</cp:lastPrinted>
  <dcterms:modified xsi:type="dcterms:W3CDTF">2016-02-11T15:12:52Z</dcterms:modified>
  <cp:revision>16</cp:revision>
</cp:coreProperties>
</file>