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708" w:leader="none"/>
          <w:tab w:val="left" w:pos="709" w:leader="none"/>
        </w:tabs>
        <w:suppressAutoHyphens w:val="true"/>
        <w:spacing w:lineRule="atLeast" w:line="276" w:before="0" w:after="0"/>
        <w:jc w:val="center"/>
        <w:rPr>
          <w:rFonts w:ascii="Arial" w:hAnsi="Arial"/>
          <w:sz w:val="22"/>
          <w:szCs w:val="22"/>
        </w:rPr>
      </w:pPr>
      <w:r>
        <w:rPr>
          <w:rFonts w:eastAsia="Arial" w:cs="Calibri" w:ascii="Arial" w:hAnsi="Arial"/>
          <w:b/>
          <w:bCs/>
          <w:caps/>
          <w:color w:val="000000"/>
          <w:sz w:val="22"/>
          <w:szCs w:val="22"/>
          <w:lang w:val="hu-HU" w:eastAsia="en-US" w:bidi="ar-SA"/>
        </w:rPr>
        <w:t xml:space="preserve">FEdŐLAP </w:t>
      </w:r>
      <w:r>
        <w:rPr>
          <w:rFonts w:eastAsia="Arial" w:cs="Calibri" w:ascii="Arial" w:hAnsi="Arial"/>
          <w:b w:val="false"/>
          <w:bCs w:val="false"/>
          <w:caps/>
          <w:color w:val="000000"/>
          <w:sz w:val="22"/>
          <w:szCs w:val="22"/>
          <w:lang w:val="hu-HU" w:eastAsia="en-US" w:bidi="ar-SA"/>
        </w:rPr>
        <w:t xml:space="preserve">         </w:t>
      </w:r>
      <w:r>
        <w:rPr>
          <w:rFonts w:eastAsia="Arial" w:cs="Calibri" w:ascii="Arial" w:hAnsi="Arial"/>
          <w:b/>
          <w:bCs/>
          <w:caps/>
          <w:color w:val="000000"/>
          <w:sz w:val="22"/>
          <w:szCs w:val="22"/>
          <w:lang w:val="hu-HU" w:eastAsia="en-US" w:bidi="ar-SA"/>
        </w:rPr>
        <w:t xml:space="preserve">          </w:t>
      </w:r>
    </w:p>
    <w:p>
      <w:pPr>
        <w:pStyle w:val="Alcm"/>
        <w:jc w:val="center"/>
        <w:rPr>
          <w:rFonts w:ascii="Arial" w:hAnsi="Arial"/>
          <w:sz w:val="22"/>
          <w:szCs w:val="22"/>
        </w:rPr>
      </w:pPr>
      <w:r>
        <w:rPr>
          <w:rFonts w:cs="Arial"/>
          <w:b/>
          <w:color w:val="00000A"/>
          <w:sz w:val="22"/>
          <w:szCs w:val="22"/>
          <w:u w:val="none"/>
        </w:rPr>
        <w:t>Az</w:t>
      </w:r>
      <w:r>
        <w:rPr>
          <w:rFonts w:eastAsia="Arial" w:cs="Arial"/>
          <w:b/>
          <w:color w:val="00000A"/>
          <w:sz w:val="22"/>
          <w:szCs w:val="22"/>
          <w:u w:val="none"/>
        </w:rPr>
        <w:t xml:space="preserve"> </w:t>
      </w:r>
      <w:r>
        <w:rPr>
          <w:rFonts w:cs="Arial"/>
          <w:b/>
          <w:color w:val="00000A"/>
          <w:sz w:val="22"/>
          <w:szCs w:val="22"/>
          <w:u w:val="none"/>
        </w:rPr>
        <w:t>előterjesztés</w:t>
      </w:r>
      <w:r>
        <w:rPr>
          <w:rFonts w:eastAsia="Arial" w:cs="Arial"/>
          <w:b/>
          <w:color w:val="00000A"/>
          <w:sz w:val="22"/>
          <w:szCs w:val="22"/>
          <w:u w:val="none"/>
        </w:rPr>
        <w:t xml:space="preserve"> </w:t>
      </w:r>
      <w:r>
        <w:rPr>
          <w:rFonts w:cs="Arial"/>
          <w:b/>
          <w:color w:val="00000A"/>
          <w:sz w:val="22"/>
          <w:szCs w:val="22"/>
          <w:u w:val="none"/>
        </w:rPr>
        <w:t>közgyűlés</w:t>
      </w:r>
      <w:r>
        <w:rPr>
          <w:rFonts w:eastAsia="Arial" w:cs="Arial"/>
          <w:b/>
          <w:color w:val="00000A"/>
          <w:sz w:val="22"/>
          <w:szCs w:val="22"/>
          <w:u w:val="none"/>
        </w:rPr>
        <w:t xml:space="preserve"> </w:t>
      </w:r>
      <w:r>
        <w:rPr>
          <w:rFonts w:cs="Arial"/>
          <w:b/>
          <w:color w:val="00000A"/>
          <w:sz w:val="22"/>
          <w:szCs w:val="22"/>
          <w:u w:val="none"/>
        </w:rPr>
        <w:t>elé</w:t>
      </w:r>
      <w:r>
        <w:rPr>
          <w:rFonts w:eastAsia="Arial" w:cs="Arial"/>
          <w:b/>
          <w:color w:val="00000A"/>
          <w:sz w:val="22"/>
          <w:szCs w:val="22"/>
          <w:u w:val="none"/>
        </w:rPr>
        <w:t xml:space="preserve"> </w:t>
      </w:r>
      <w:r>
        <w:rPr>
          <w:rFonts w:cs="Arial"/>
          <w:b/>
          <w:color w:val="00000A"/>
          <w:sz w:val="22"/>
          <w:szCs w:val="22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Az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előterjesztés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tárgyalásának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napja: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201</w:t>
      </w:r>
      <w:r>
        <w:rPr>
          <w:rFonts w:cs="Arial" w:ascii="Arial" w:hAnsi="Arial"/>
          <w:b/>
          <w:color w:val="00000A"/>
          <w:sz w:val="22"/>
          <w:szCs w:val="22"/>
        </w:rPr>
        <w:t>5.10.15.</w:t>
      </w:r>
    </w:p>
    <w:p>
      <w:pPr>
        <w:pStyle w:val="Szvegtrzs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A"/>
          <w:sz w:val="22"/>
          <w:szCs w:val="22"/>
          <w:lang w:val="hu-HU" w:eastAsia="hu-HU" w:bidi="ar-SA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Arial" w:cs="Arial" w:ascii="Arial" w:hAnsi="Arial"/>
          <w:b/>
          <w:bCs/>
          <w:color w:val="00008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Kistérségi Turisztikai Nonprofit Kft.-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t terhelő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Á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fa fizetési kötelezettség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re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forrás biztosítás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áról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Előadó:</w:t>
      </w:r>
      <w:r>
        <w:rPr>
          <w:rFonts w:cs="Arial" w:ascii="Arial" w:hAnsi="Arial"/>
          <w:b/>
          <w:color w:val="00000A"/>
          <w:sz w:val="22"/>
          <w:szCs w:val="22"/>
          <w:u w:val="none"/>
        </w:rPr>
        <w:tab/>
      </w:r>
      <w:r>
        <w:rPr>
          <w:rFonts w:cs="Arial" w:ascii="Arial" w:hAnsi="Arial"/>
          <w:color w:val="00000A"/>
          <w:sz w:val="22"/>
          <w:szCs w:val="22"/>
        </w:rPr>
        <w:t>a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gazdasági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és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területfejlesztési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bizottság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elnöke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pénzügyi bizottság elnöke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  <w:r>
        <w:rPr>
          <w:rFonts w:ascii="Arial" w:hAnsi="Arial"/>
          <w:sz w:val="22"/>
          <w:szCs w:val="22"/>
        </w:rPr>
        <w:t>az ügyrendi, igazgatási és jogi bizottság elnöke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A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>d</w:t>
      </w:r>
      <w:r>
        <w:rPr>
          <w:rFonts w:cs="Arial" w:ascii="Arial" w:hAnsi="Arial"/>
          <w:color w:val="00000A"/>
          <w:sz w:val="22"/>
          <w:szCs w:val="22"/>
        </w:rPr>
        <w:t>r.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Vántus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Judit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vagyonkezelési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osztályvezető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>Sebestyénné dr. Tóth Judit ügyintéző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color w:val="00000A"/>
          <w:sz w:val="22"/>
          <w:szCs w:val="22"/>
        </w:rPr>
        <w:tab/>
      </w:r>
      <w:r>
        <w:rPr>
          <w:rFonts w:cs="Arial" w:ascii="Arial" w:hAnsi="Arial"/>
          <w:b/>
          <w:color w:val="00000A"/>
          <w:sz w:val="22"/>
          <w:szCs w:val="22"/>
        </w:rPr>
        <w:t>Mórocz Erika</w:t>
      </w:r>
      <w:r>
        <w:rPr>
          <w:rFonts w:cs="Arial" w:ascii="Arial" w:hAnsi="Arial"/>
          <w:b/>
          <w:color w:val="00000A"/>
          <w:sz w:val="22"/>
          <w:szCs w:val="22"/>
        </w:rPr>
        <w:t xml:space="preserve"> ügyvezető, Kistérségi Turisztikai Nkft.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Véleményező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bizottságok: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Gazdasági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és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t</w:t>
      </w:r>
      <w:r>
        <w:rPr>
          <w:rFonts w:cs="Arial" w:ascii="Arial" w:hAnsi="Arial"/>
          <w:color w:val="00000A"/>
          <w:sz w:val="22"/>
          <w:szCs w:val="22"/>
        </w:rPr>
        <w:t>erületfejlesztési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bizottság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                             </w:t>
        <w:tab/>
        <w:t xml:space="preserve">  </w:t>
      </w:r>
      <w:r>
        <w:rPr>
          <w:rFonts w:cs="Arial" w:ascii="Arial" w:hAnsi="Arial"/>
          <w:color w:val="00000A"/>
          <w:sz w:val="22"/>
          <w:szCs w:val="22"/>
        </w:rPr>
        <w:t>201</w:t>
      </w:r>
      <w:r>
        <w:rPr>
          <w:rFonts w:cs="Arial" w:ascii="Arial" w:hAnsi="Arial"/>
          <w:color w:val="00000A"/>
          <w:sz w:val="22"/>
          <w:szCs w:val="22"/>
        </w:rPr>
        <w:t>5.10.13.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Pénzügyi Bizottság                               </w:t>
        <w:tab/>
        <w:tab/>
        <w:tab/>
        <w:tab/>
        <w:t xml:space="preserve"> 201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10.12.</w:t>
      </w:r>
      <w:r>
        <w:rPr>
          <w:rFonts w:ascii="Arial" w:hAnsi="Arial"/>
          <w:sz w:val="22"/>
          <w:szCs w:val="22"/>
        </w:rPr>
        <w:t xml:space="preserve">              </w:t>
        <w:br/>
      </w:r>
      <w:r>
        <w:rPr>
          <w:rFonts w:ascii="Arial" w:hAnsi="Arial"/>
          <w:sz w:val="22"/>
          <w:szCs w:val="22"/>
        </w:rPr>
        <w:t>Ügyrendi, igazgatási és jogi bizottság</w:t>
        <w:tab/>
        <w:tab/>
        <w:tab/>
        <w:tab/>
        <w:t xml:space="preserve">  2015.10.13.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napirendi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pont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rövid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tartalma:</w:t>
      </w:r>
      <w:r>
        <w:rPr>
          <w:rFonts w:eastAsia="Arial" w:cs="Arial" w:ascii="Arial" w:hAnsi="Arial"/>
          <w:b/>
          <w:color w:val="00000A"/>
          <w:sz w:val="22"/>
          <w:szCs w:val="22"/>
          <w:u w:val="none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Kistérségi Turisztikai Nonprofit Kft. 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nem várt áfa fizetési kötelezettségei, valamint a felügyelő bizottsági tagok díjazásának megfizetésére 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>mindösszesen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5 millió forint</w:t>
      </w:r>
      <w:r>
        <w:rPr>
          <w:rFonts w:eastAsia="Arial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forrás biztosítását kéri az önkormányzattól.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A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napirendi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pont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előkészítőinek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 xml:space="preserve">adatai: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Osztály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 xml:space="preserve">neve: </w:t>
        <w:tab/>
        <w:tab/>
        <w:t>vagyonkezelési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osztály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Ügyintéző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neve:</w:t>
        <w:tab/>
        <w:t>Sebestyénné dr. Tóth Judit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E-mail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címe:</w:t>
        <w:tab/>
        <w:tab/>
        <w:t>sebestyenne@pmh.dunanet.hu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Telefonszáma:</w:t>
        <w:tab/>
        <w:t>06-25/</w:t>
      </w:r>
      <w:r>
        <w:rPr>
          <w:rFonts w:cs="Arial" w:ascii="Arial" w:hAnsi="Arial"/>
          <w:color w:val="00000A"/>
          <w:sz w:val="22"/>
          <w:szCs w:val="22"/>
        </w:rPr>
        <w:t>544-302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Iktatószám:</w:t>
        <w:tab/>
        <w:tab/>
      </w:r>
      <w:r>
        <w:rPr>
          <w:rFonts w:ascii="Arial" w:hAnsi="Arial"/>
          <w:sz w:val="22"/>
          <w:szCs w:val="22"/>
        </w:rPr>
        <w:t>2251/2015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Előkészítő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aláírása:</w:t>
        <w:tab/>
        <w:tab/>
        <w:tab/>
        <w:tab/>
      </w:r>
      <w:r>
        <w:rPr>
          <w:rFonts w:eastAsia="Arial" w:cs="Arial" w:ascii="Arial" w:hAnsi="Arial"/>
          <w:color w:val="00000A"/>
          <w:sz w:val="22"/>
          <w:szCs w:val="22"/>
        </w:rPr>
        <w:t>Sebestyénné dr. Tóth Judit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Igazgató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/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Osztályvezető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aláírása:</w:t>
        <w:tab/>
        <w:tab/>
      </w:r>
      <w:r>
        <w:rPr>
          <w:rFonts w:cs="Arial" w:ascii="Arial" w:hAnsi="Arial"/>
          <w:color w:val="00000A"/>
          <w:sz w:val="22"/>
          <w:szCs w:val="22"/>
        </w:rPr>
        <w:t>D</w:t>
      </w:r>
      <w:r>
        <w:rPr>
          <w:rFonts w:cs="Arial" w:ascii="Arial" w:hAnsi="Arial"/>
          <w:color w:val="00000A"/>
          <w:sz w:val="22"/>
          <w:szCs w:val="22"/>
        </w:rPr>
        <w:t>r.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Vántus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Judit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  <w:t>A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törvényességi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ellenőrzésre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vonatkozó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adatok: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Törvényességi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ellenőrzést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végző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személy:</w:t>
        <w:tab/>
        <w:tab/>
        <w:tab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Leadás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dátuma:</w:t>
        <w:tab/>
        <w:tab/>
        <w:tab/>
        <w:tab/>
        <w:tab/>
        <w:tab/>
        <w:tab/>
        <w:t>201</w:t>
      </w:r>
      <w:r>
        <w:rPr>
          <w:rFonts w:eastAsia="Arial" w:cs="Arial" w:ascii="Arial" w:hAnsi="Arial"/>
          <w:color w:val="00000A"/>
          <w:sz w:val="22"/>
          <w:szCs w:val="22"/>
        </w:rPr>
        <w:t>5.10.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Ellenőrzés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dátuma:</w:t>
        <w:tab/>
        <w:tab/>
        <w:tab/>
        <w:tab/>
        <w:tab/>
        <w:tab/>
        <w:tab/>
        <w:t>201</w:t>
      </w:r>
      <w:r>
        <w:rPr>
          <w:rFonts w:cs="Arial" w:ascii="Arial" w:hAnsi="Arial"/>
          <w:color w:val="00000A"/>
          <w:sz w:val="22"/>
          <w:szCs w:val="22"/>
        </w:rPr>
        <w:t>5.10.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Törvényességi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észrevétel:</w:t>
        <w:tab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>Amennyiben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 xml:space="preserve">van: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elfogadáshoz szükséges szavazati arány:</w:t>
        <w:tab/>
        <w:tab/>
        <w:t>egyszerű/minősített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tárgyalás</w:t>
      </w:r>
      <w:r>
        <w:rPr>
          <w:rFonts w:eastAsia="Arial" w:cs="Arial" w:ascii="Arial" w:hAnsi="Arial"/>
          <w:b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  <w:u w:val="single"/>
        </w:rPr>
        <w:t>módja:</w:t>
      </w:r>
      <w:r>
        <w:rPr>
          <w:rFonts w:cs="Arial" w:ascii="Arial" w:hAnsi="Arial"/>
          <w:color w:val="00000A"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/>
          <w:color w:val="00000A"/>
          <w:sz w:val="22"/>
          <w:szCs w:val="22"/>
        </w:rPr>
        <w:t>Nyílt</w:t>
      </w:r>
      <w:r>
        <w:rPr>
          <w:rFonts w:eastAsia="Arial" w:cs="Arial" w:ascii="Arial" w:hAnsi="Arial"/>
          <w:b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color w:val="00000A"/>
          <w:sz w:val="22"/>
          <w:szCs w:val="22"/>
        </w:rPr>
        <w:t>ülés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A"/>
          <w:sz w:val="22"/>
          <w:szCs w:val="22"/>
        </w:rPr>
        <w:t>Egyéb</w:t>
      </w:r>
      <w:r>
        <w:rPr>
          <w:rFonts w:eastAsia="Arial" w:cs="Arial" w:ascii="Arial" w:hAnsi="Arial"/>
          <w:b/>
          <w:bCs/>
          <w:color w:val="00000A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A"/>
          <w:sz w:val="22"/>
          <w:szCs w:val="22"/>
        </w:rPr>
        <w:t>megjegyzések: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00000A"/>
          <w:spacing w:val="-2"/>
          <w:position w:val="2"/>
          <w:sz w:val="22"/>
          <w:szCs w:val="22"/>
          <w:u w:val="none"/>
          <w:lang w:val="hu-HU" w:eastAsia="hu-HU" w:bidi="ar-SA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Javaslat</w:t>
      </w:r>
      <w:r>
        <w:rPr>
          <w:rFonts w:eastAsia="Arial" w:cs="Arial" w:ascii="Arial" w:hAnsi="Arial"/>
          <w:b/>
          <w:bCs/>
          <w:color w:val="000080"/>
          <w:spacing w:val="-2"/>
          <w:position w:val="2"/>
          <w:sz w:val="22"/>
          <w:szCs w:val="22"/>
          <w:u w:val="none"/>
          <w:lang w:val="hu-HU" w:eastAsia="zxx" w:bidi="zxx"/>
        </w:rPr>
        <w:t xml:space="preserve">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-3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Kistérségi Turisztikai Nonprofit Kft.-t terhelő Áfa fizetési kötelezettségre forrás biztosításáról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-30" w:right="0" w:hanging="0"/>
        <w:jc w:val="both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-30" w:right="0" w:hanging="0"/>
        <w:jc w:val="both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Tisztelt Közgyűlés!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-3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-3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 </w:t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b w:val="false"/>
          <w:bCs w:val="false"/>
          <w:sz w:val="22"/>
          <w:szCs w:val="22"/>
          <w:u w:val="none"/>
        </w:rPr>
        <w:t xml:space="preserve">DMJV </w:t>
      </w:r>
      <w:r>
        <w:rPr>
          <w:rFonts w:eastAsia="Arial" w:ascii="Arial" w:hAnsi="Arial"/>
          <w:b w:val="false"/>
          <w:bCs w:val="false"/>
          <w:sz w:val="22"/>
          <w:szCs w:val="22"/>
          <w:u w:val="none"/>
        </w:rPr>
        <w:t>Önkormányzata</w:t>
      </w:r>
      <w:r>
        <w:rPr>
          <w:rFonts w:eastAsia="Arial"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201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évi költségvetéséről és a végrehajtásának szabályairól szóló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/201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5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 (II.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.)   önkormányzati rendelete 5.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c.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melléklete szerint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önkormányzat 21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.000.000,-Ft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forrást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irányzott elő a Dunaújvárosi Kistérségi Turisztikai Nonprofit Kft. 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működi költségei</w:t>
      </w:r>
      <w:r>
        <w:rPr>
          <w:rFonts w:eastAsia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re.</w:t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Mórocz Erika ügyvezető tájékoztatása szerint 2015. év I. félévében több mint 2,5 millió forint nem várt áfa fizetési kötelezettsége keletkezett a társaságnak és előreláthatólag az idei évben további 1,5 millió forintot tesz ki az áfa fizetés, valamint a felügyelő bizottsági tagok díjazása 1 millió forint terhet jelent az Irodának. Az </w:t>
      </w:r>
      <w:r>
        <w:rPr>
          <w:rFonts w:ascii="Arial" w:hAnsi="Arial"/>
          <w:b/>
          <w:bCs/>
          <w:sz w:val="22"/>
          <w:szCs w:val="22"/>
        </w:rPr>
        <w:t>ügyvezető asszony kéri az önkormányzat támogatását</w:t>
      </w:r>
      <w:r>
        <w:rPr>
          <w:rFonts w:ascii="Arial" w:hAnsi="Arial"/>
          <w:sz w:val="22"/>
          <w:szCs w:val="22"/>
        </w:rPr>
        <w:t xml:space="preserve"> abban, hogy a fenti költségekre mindösszesen 5 millió forint erejéig forrást biztosítson a társaság számára (1. sz. melléklet).</w:t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Amennyiben a Tisztelt Közgyűlés támogatja a kérelmet, szükséges az önkormányzat és a Kistérségi Iroda között fennálló megbízási szerződés módosítása, melyet a határozati javaslat 1. sz. mellékleteként csatolunk. </w:t>
      </w:r>
    </w:p>
    <w:p>
      <w:pPr>
        <w:pStyle w:val="Normal"/>
        <w:tabs>
          <w:tab w:val="left" w:pos="-2520" w:leader="none"/>
          <w:tab w:val="left" w:pos="558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A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z előterjesztést tárgyalta a Gazdasági és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erületfejlesztési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B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izottság, az Ügyrendi,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I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gazgatási és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J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ogi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B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 xml:space="preserve">izottság,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  <w:t>valamint a Pénzügyi Bizottság.</w:t>
      </w:r>
    </w:p>
    <w:p>
      <w:pPr>
        <w:pStyle w:val="Normal"/>
        <w:tabs>
          <w:tab w:val="left" w:pos="-2520" w:leader="none"/>
          <w:tab w:val="left" w:pos="558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hu-HU" w:bidi="zxx"/>
        </w:rPr>
      </w:r>
    </w:p>
    <w:p>
      <w:pPr>
        <w:pStyle w:val="Normal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Bizottsági vélemények</w:t>
      </w:r>
    </w:p>
    <w:p>
      <w:pPr>
        <w:pStyle w:val="Normal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Bizottságok elnökei az előterjesztéssel kapcsolatos állásfoglalásukat a közgyűlésen, szóban ismertetik.</w:t>
      </w:r>
    </w:p>
    <w:p>
      <w:pPr>
        <w:pStyle w:val="Normal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hi-IN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val="hu-HU" w:eastAsia="zxx" w:bidi="hi-IN"/>
        </w:rPr>
      </w:r>
    </w:p>
    <w:p>
      <w:pPr>
        <w:pStyle w:val="Normal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before="0" w:after="0"/>
        <w:ind w:left="0" w:right="0" w:hanging="0"/>
        <w:jc w:val="both"/>
        <w:rPr>
          <w:rFonts w:ascii="Arial" w:hAnsi="Arial" w:eastAsia="Arial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HATÁROZATI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JAVASLAT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sz w:val="22"/>
          <w:szCs w:val="22"/>
        </w:rPr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Dunaújváros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Megyei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Jogú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>Közgyűlésének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zxx" w:eastAsia="zxx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  <w:u w:val="none"/>
          <w:lang w:val="hu-HU" w:eastAsia="hu-HU" w:bidi="hi-IN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.../201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5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 xml:space="preserve"> (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X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1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5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>.</w:t>
      </w:r>
      <w:r>
        <w:rPr>
          <w:rFonts w:eastAsia="Arial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zxx" w:eastAsia="zxx" w:bidi="hi-IN"/>
        </w:rPr>
        <w:t xml:space="preserve">)  határozata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 </w:t>
      </w: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Dunaújvárosi Kistérségi Turisztikai Nonprofit Kft.-t terhelő Áfa fizetési kötelezettségre forrás biztosításáról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-30" w:right="0" w:hanging="0"/>
        <w:jc w:val="center"/>
        <w:rPr>
          <w:rFonts w:ascii="Arial" w:hAnsi="Arial" w:eastAsia="Times New Roman" w:cs="Arial"/>
          <w:b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/>
          <w:bCs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1.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Közgyűlése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úgy határoz, hogy a Dunaújvárosi Kistérségi Turisztikai Nonprofit Kft. részére 5.000.000,-Ft forrást biztosít a társaság áfa fizetési kötelezettsége és a felügyelő bizottsági tagok díjazásának megfizetésére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Önkormányzata a 201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. évi költségvetéséről és a végrehajtásának szabályairól szóló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/201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 (II.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20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.) önkormányzati rendeletének 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………………...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 xml:space="preserve"> előirányzat terhére</w:t>
      </w: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  <w:t>.</w:t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000000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numPr>
          <w:ilvl w:val="0"/>
          <w:numId w:val="0"/>
        </w:numPr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1515" w:leader="none"/>
        </w:tabs>
        <w:suppressAutoHyphens w:val="true"/>
        <w:kinsoku w:val="true"/>
        <w:overflowPunct w:val="true"/>
        <w:autoSpaceDE w:val="true"/>
        <w:bidi w:val="0"/>
        <w:spacing w:lineRule="atLeast" w:line="26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2.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Dunaújváros Megyei Jogú Város Közgyűlése felhatalmazza a polgármestert, hogy 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jelen határozat alapján intézkedjen a kötelezettségvállalás nyilvántartásba vételéről és a pénzügyi teljesítésről, valamint 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jelen határozat 1. számú mellékletét képező megbízási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szerződés aláírására,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egyúttal felkéri a polgármestert jelen határozat közlésére.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Felelős: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-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>a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határozat végrehajtásáért: 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b/>
          <w:color w:val="auto"/>
          <w:sz w:val="22"/>
          <w:szCs w:val="22"/>
          <w:lang w:val="hu-HU" w:eastAsia="zxx" w:bidi="zxx"/>
        </w:rPr>
        <w:t xml:space="preserve">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polgármester      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>-  a határozat végrehajtásában való közreműködésért: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vagyonkezelési osztály vezetője                    </w:t>
        <w:tab/>
        <w:tab/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</w:t>
      </w:r>
      <w:r>
        <w:rPr>
          <w:rFonts w:cs="Arial" w:ascii="Arial" w:hAnsi="Arial"/>
          <w:sz w:val="22"/>
          <w:szCs w:val="22"/>
        </w:rPr>
        <w:t>a költségvetési és pénzügyi osztály vezetője</w:t>
      </w:r>
    </w:p>
    <w:p>
      <w:pPr>
        <w:pStyle w:val="Normal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a határozat közlésére: a határozat előkészítő osztály részére való megküldést                    követő 8 napon belül</w:t>
      </w:r>
    </w:p>
    <w:p>
      <w:pPr>
        <w:pStyle w:val="Normal"/>
        <w:numPr>
          <w:ilvl w:val="0"/>
          <w:numId w:val="0"/>
        </w:numPr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szerződés aláírására: a határozat érintettekkel való közlését követő 30 napon belül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 xml:space="preserve">            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3.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utasítja a jegyzőt, hogy a határozat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1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. pontjában foglalt kötelezettségvállalást a 2015. évi költségvetés soron következő módosítása során vegye figyelembe.</w:t>
      </w:r>
    </w:p>
    <w:p>
      <w:pPr>
        <w:pStyle w:val="Llb"/>
        <w:numPr>
          <w:ilvl w:val="0"/>
          <w:numId w:val="0"/>
        </w:numPr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cs="Arial" w:ascii="Arial" w:hAnsi="Arial"/>
          <w:b/>
          <w:sz w:val="22"/>
          <w:u w:val="single"/>
        </w:rPr>
        <w:t>Felelős:</w:t>
      </w:r>
      <w:r>
        <w:rPr>
          <w:rFonts w:cs="Arial" w:ascii="Arial" w:hAnsi="Arial"/>
          <w:sz w:val="22"/>
        </w:rPr>
        <w:t>- a költségvetés módosításáért: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jegyző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- a költségvetés módosításában való közreműködésért: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költségvetési és pénzügyi osztály vezetője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rPr/>
      </w:pPr>
      <w:r>
        <w:rPr>
          <w:rFonts w:cs="Arial" w:ascii="Arial" w:hAnsi="Arial"/>
          <w:b/>
          <w:sz w:val="22"/>
        </w:rPr>
        <w:tab/>
      </w:r>
      <w:r>
        <w:rPr>
          <w:rFonts w:cs="Arial" w:ascii="Arial" w:hAnsi="Arial"/>
          <w:b/>
          <w:sz w:val="22"/>
          <w:u w:val="single"/>
        </w:rPr>
        <w:t>Határidő: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sz w:val="22"/>
        </w:rPr>
        <w:t>a 2015. évi költségvetés soron következő módosításának időpontja</w:t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Dunaújváros, 2015. október 15.</w:t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15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>Hingyi László s.k.</w:t>
        <w:tab/>
        <w:tab/>
        <w:tab/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Pintér Attila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G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azdasági és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T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erületfejlesztési                      </w:t>
        <w:tab/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Pénzügyi Bizottság elnöke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B</w:t>
      </w: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izottság elnöke                                      </w:t>
      </w: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           </w:t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        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/>
        </w:rPr>
        <w:t xml:space="preserve">                                        </w:t>
      </w:r>
    </w:p>
    <w:p>
      <w:pPr>
        <w:pStyle w:val="Normal"/>
        <w:tabs>
          <w:tab w:val="left" w:pos="558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>Tóth Kálmán s.k.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Ügyrendi, Igazgatási és Jogi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>Bizottság elnöke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ab/>
        <w:tab/>
        <w:tab/>
        <w:t xml:space="preserve">                                     </w:t>
      </w:r>
    </w:p>
    <w:p>
      <w:pPr>
        <w:pStyle w:val="Szvegtrzs"/>
        <w:tabs>
          <w:tab w:val="left" w:pos="-2700" w:leader="none"/>
          <w:tab w:val="left" w:pos="649" w:leader="none"/>
          <w:tab w:val="left" w:pos="679" w:leader="none"/>
          <w:tab w:val="left" w:pos="709" w:leader="none"/>
          <w:tab w:val="left" w:pos="5400" w:leader="none"/>
        </w:tabs>
        <w:spacing w:lineRule="atLeast" w:line="240"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default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hu-H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outlineLvl w:val="0"/>
      <w:outlineLvl w:val="0"/>
    </w:pPr>
    <w:rPr>
      <w:b/>
      <w:bCs/>
      <w:sz w:val="32"/>
      <w:szCs w:val="32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outlineLvl w:val="1"/>
      <w:outlineLvl w:val="1"/>
    </w:pPr>
    <w:rPr>
      <w:b/>
      <w:bCs/>
      <w:i/>
      <w:iCs/>
      <w:sz w:val="28"/>
      <w:szCs w:val="28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outlineLvl w:val="2"/>
      <w:outlineLvl w:val="2"/>
    </w:pPr>
    <w:rPr>
      <w:b/>
      <w:bCs/>
      <w:sz w:val="28"/>
      <w:szCs w:val="28"/>
    </w:rPr>
  </w:style>
  <w:style w:type="paragraph" w:styleId="Cmsor5">
    <w:name w:val="Címsor 5"/>
    <w:basedOn w:val="Normal"/>
    <w:next w:val="Normal"/>
    <w:pPr>
      <w:keepNext/>
      <w:numPr>
        <w:ilvl w:val="4"/>
        <w:numId w:val="1"/>
      </w:numPr>
      <w:ind w:left="284" w:right="0" w:hanging="568"/>
      <w:jc w:val="both"/>
      <w:outlineLvl w:val="4"/>
      <w:outlineLvl w:val="4"/>
    </w:pPr>
    <w:rPr>
      <w:rFonts w:ascii="Arial" w:hAnsi="Arial"/>
      <w:i/>
      <w:sz w:val="24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Alcm">
    <w:name w:val="Alcím"/>
    <w:basedOn w:val="Cmsor"/>
    <w:next w:val="Szvegtrzs"/>
    <w:pPr>
      <w:jc w:val="center"/>
    </w:pPr>
    <w:rPr>
      <w:i/>
      <w:iCs/>
      <w:sz w:val="28"/>
      <w:szCs w:val="28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36"/>
      <w:szCs w:val="36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1361</TotalTime>
  <Application>LibreOffice/5.0.1.2$Windows_x86 LibreOffice_project/81898c9f5c0d43f3473ba111d7b351050be20261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2013-03-05T08:14:42Z</dcterms:created>
  <dc:language>hu-HU</dc:language>
  <cp:lastPrinted>2015-10-08T14:47:17Z</cp:lastPrinted>
  <dcterms:modified xsi:type="dcterms:W3CDTF">2015-10-08T14:52:48Z</dcterms:modified>
  <cp:revision>37</cp:revision>
</cp:coreProperties>
</file>