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rFonts w:ascii="Arial" w:hAnsi="Arial" w:cs="Arial"/>
          <w:b/>
          <w:b/>
          <w:bCs/>
          <w:i/>
          <w:i/>
          <w:caps w:val="false"/>
          <w:smallCaps w:val="false"/>
          <w:color w:val="000000"/>
          <w:sz w:val="36"/>
          <w:szCs w:val="36"/>
        </w:rPr>
      </w:pPr>
      <w:r>
        <w:rPr>
          <w:rFonts w:cs="Arial" w:ascii="Arial" w:hAnsi="Arial"/>
          <w:b/>
          <w:bCs/>
          <w:i/>
          <w:caps w:val="false"/>
          <w:smallCaps w:val="false"/>
          <w:color w:val="000000"/>
          <w:sz w:val="36"/>
          <w:szCs w:val="36"/>
        </w:rPr>
        <w:t xml:space="preserve">   </w:t>
      </w:r>
      <w:r>
        <w:rPr>
          <w:rFonts w:cs="Arial" w:ascii="Arial" w:hAnsi="Arial"/>
          <w:b/>
          <w:bCs/>
          <w:i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Cmsor"/>
        <w:ind w:left="0" w:right="0" w:hanging="0"/>
        <w:jc w:val="center"/>
        <w:rPr>
          <w:i/>
          <w:i/>
          <w:sz w:val="26"/>
          <w:szCs w:val="26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 xml:space="preserve">Az előterjesztés </w:t>
      </w:r>
      <w:r>
        <w:rPr>
          <w:rFonts w:cs="Arial" w:ascii="Arial" w:hAnsi="Arial"/>
          <w:b/>
          <w:i w:val="false"/>
          <w:iCs w:val="false"/>
          <w:color w:val="000000"/>
          <w:sz w:val="26"/>
          <w:szCs w:val="26"/>
          <w:u w:val="none"/>
        </w:rPr>
        <w:t xml:space="preserve">közgyűlés </w:t>
      </w: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>elé</w:t>
      </w:r>
      <w:r>
        <w:rPr>
          <w:rFonts w:cs="Arial" w:ascii="Arial" w:hAnsi="Arial"/>
          <w:b/>
          <w:i w:val="false"/>
          <w:iCs w:val="false"/>
          <w:color w:val="000080"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6"/>
          <w:szCs w:val="26"/>
          <w:u w:val="none"/>
        </w:rPr>
      </w:pPr>
      <w:r>
        <w:rPr>
          <w:rFonts w:cs="Arial" w:ascii="Arial" w:hAnsi="Arial"/>
          <w:b/>
          <w:color w:val="auto"/>
          <w:sz w:val="26"/>
          <w:szCs w:val="26"/>
          <w:u w:val="none"/>
        </w:rPr>
        <w:t>Az előterjesztés tárgyalásának napja: 201</w:t>
      </w:r>
      <w:r>
        <w:rPr>
          <w:rFonts w:cs="Arial" w:ascii="Arial" w:hAnsi="Arial"/>
          <w:b/>
          <w:color w:val="auto"/>
          <w:sz w:val="26"/>
          <w:szCs w:val="26"/>
          <w:u w:val="none"/>
        </w:rPr>
        <w:t>6</w:t>
      </w:r>
      <w:r>
        <w:rPr>
          <w:rFonts w:cs="Arial" w:ascii="Arial" w:hAnsi="Arial"/>
          <w:b/>
          <w:color w:val="auto"/>
          <w:sz w:val="26"/>
          <w:szCs w:val="26"/>
          <w:u w:val="none"/>
        </w:rPr>
        <w:t>. február 1</w:t>
      </w:r>
      <w:r>
        <w:rPr>
          <w:rFonts w:cs="Arial" w:ascii="Arial" w:hAnsi="Arial"/>
          <w:b/>
          <w:color w:val="auto"/>
          <w:sz w:val="26"/>
          <w:szCs w:val="26"/>
          <w:u w:val="none"/>
        </w:rPr>
        <w:t>8</w:t>
      </w:r>
      <w:r>
        <w:rPr>
          <w:rFonts w:cs="Arial" w:ascii="Arial" w:hAnsi="Arial"/>
          <w:b/>
          <w:color w:val="auto"/>
          <w:sz w:val="26"/>
          <w:szCs w:val="26"/>
          <w:u w:val="none"/>
        </w:rPr>
        <w:t>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Alcm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Javaslat az Intercisa Múzeum 201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5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. évi beszámolójának és 201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6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. évi munkatervének jóváhagyására</w:t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Előadó:</w:t>
      </w:r>
      <w:r>
        <w:rPr>
          <w:rFonts w:cs="Arial" w:ascii="Arial" w:hAnsi="Arial"/>
          <w:color w:val="000000"/>
        </w:rPr>
        <w:tab/>
      </w:r>
      <w:r>
        <w:rPr>
          <w:rFonts w:cs="Arial" w:ascii="Arial" w:hAnsi="Arial"/>
          <w:color w:val="000000"/>
          <w:sz w:val="24"/>
          <w:szCs w:val="24"/>
        </w:rPr>
        <w:t xml:space="preserve">az </w:t>
      </w:r>
      <w:r>
        <w:rPr>
          <w:rFonts w:cs="Arial" w:ascii="Arial" w:hAnsi="Arial"/>
          <w:color w:val="auto"/>
          <w:sz w:val="24"/>
          <w:szCs w:val="24"/>
        </w:rPr>
        <w:t>oktatási, kulturális, ifjúsági és sport bizottság elnöke</w:t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Előkészítő:</w:t>
      </w:r>
      <w:r>
        <w:rPr>
          <w:rFonts w:cs="Arial" w:ascii="Arial" w:hAnsi="Arial"/>
          <w:b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 xml:space="preserve">dr.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László Borbála jogi és szervezési igazgató</w:t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/>
          <w:bCs w:val="false"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Bokor Zsuzsanna kulturális ügyintéző</w:t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Meghívott:</w:t>
      </w:r>
      <w:r>
        <w:rPr>
          <w:rFonts w:cs="Arial" w:ascii="Arial" w:hAnsi="Arial"/>
          <w:b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Farkas Lajos, az Intercisa Múzeum igazgatója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rPr>
          <w:rFonts w:ascii="Arial" w:hAnsi="Arial" w:cs="Arial"/>
          <w:b/>
          <w:b/>
          <w:color w:val="000000"/>
          <w:u w:val="single"/>
        </w:rPr>
      </w:pPr>
      <w:r>
        <w:rPr>
          <w:rFonts w:cs="Arial" w:ascii="Arial" w:hAnsi="Arial"/>
          <w:b/>
          <w:color w:val="000000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color w:val="000000"/>
        </w:rPr>
      </w:pPr>
      <w:r>
        <w:rPr>
          <w:rFonts w:cs="Arial" w:ascii="Arial" w:hAnsi="Arial"/>
          <w:color w:val="auto"/>
          <w:sz w:val="24"/>
          <w:szCs w:val="24"/>
        </w:rPr>
        <w:t>oktatási, kulturális, ifjúsági és sport bizottság</w:t>
      </w:r>
      <w:r>
        <w:rPr>
          <w:rFonts w:cs="Arial" w:ascii="Arial" w:hAnsi="Arial"/>
          <w:color w:val="000000"/>
        </w:rPr>
        <w:tab/>
        <w:t>201</w:t>
      </w:r>
      <w:r>
        <w:rPr>
          <w:rFonts w:cs="Arial" w:ascii="Arial" w:hAnsi="Arial"/>
          <w:color w:val="000000"/>
        </w:rPr>
        <w:t>6</w:t>
      </w:r>
      <w:r>
        <w:rPr>
          <w:rFonts w:cs="Arial" w:ascii="Arial" w:hAnsi="Arial"/>
          <w:color w:val="000000"/>
        </w:rPr>
        <w:t>.02.</w:t>
      </w:r>
      <w:r>
        <w:rPr>
          <w:rFonts w:cs="Arial" w:ascii="Arial" w:hAnsi="Arial"/>
          <w:color w:val="000000"/>
        </w:rPr>
        <w:t>09</w:t>
      </w:r>
      <w:r>
        <w:rPr>
          <w:rFonts w:cs="Arial" w:ascii="Arial" w:hAnsi="Arial"/>
          <w:color w:val="000000"/>
        </w:rPr>
        <w:t>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-5040" w:leader="none"/>
        </w:tabs>
        <w:jc w:val="both"/>
        <w:rPr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A napirendi pont rövid tartalma: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u w:val="none"/>
        </w:rPr>
        <w:t>Az 1997. évi CXL. törvény 50. § (2) alapján a fenntartó hagyja jóvá a muzeális intézmények beszámolóját és munkatervét. Az 51/2014. (XII.10.) EMMI rendelet meghatározza a múzeumok éves munkatervéhez szükséges szakmai mutatókat. Az Intercisa Múzeum 201</w:t>
      </w:r>
      <w:r>
        <w:rPr>
          <w:rFonts w:cs="Arial" w:ascii="Arial" w:hAnsi="Arial"/>
          <w:b w:val="false"/>
          <w:bCs w:val="false"/>
          <w:color w:val="000000"/>
          <w:u w:val="none"/>
        </w:rPr>
        <w:t>6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. évi munkaterve </w:t>
      </w:r>
      <w:r>
        <w:rPr>
          <w:rFonts w:cs="Arial" w:ascii="Arial" w:hAnsi="Arial"/>
          <w:b w:val="false"/>
          <w:bCs w:val="false"/>
          <w:color w:val="000000"/>
          <w:u w:val="none"/>
        </w:rPr>
        <w:t>az új rendelet figyelembevételével, a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 201</w:t>
      </w:r>
      <w:r>
        <w:rPr>
          <w:rFonts w:cs="Arial" w:ascii="Arial" w:hAnsi="Arial"/>
          <w:b w:val="false"/>
          <w:bCs w:val="false"/>
          <w:color w:val="000000"/>
          <w:u w:val="none"/>
        </w:rPr>
        <w:t>5</w:t>
      </w:r>
      <w:r>
        <w:rPr>
          <w:rFonts w:cs="Arial" w:ascii="Arial" w:hAnsi="Arial"/>
          <w:b w:val="false"/>
          <w:bCs w:val="false"/>
          <w:color w:val="000000"/>
          <w:u w:val="none"/>
        </w:rPr>
        <w:t>. évi beszámolója a tárgyévi munkaterv alapján készült.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u w:val="none"/>
        </w:rPr>
      </w:pPr>
      <w:r>
        <w:rPr>
          <w:rFonts w:cs="Arial" w:ascii="Arial" w:hAnsi="Arial"/>
          <w:b w:val="false"/>
          <w:bCs w:val="false"/>
          <w:color w:val="000000"/>
          <w:u w:val="none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2342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Osztály neve:</w:t>
        <w:tab/>
      </w:r>
      <w:r>
        <w:rPr>
          <w:rFonts w:cs="Arial" w:ascii="Arial" w:hAnsi="Arial"/>
          <w:color w:val="000000"/>
          <w:sz w:val="24"/>
          <w:szCs w:val="24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Ügyintéző neve:</w:t>
        <w:tab/>
        <w:t>Bokor Zsuzsanna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E-mail címe:</w:t>
        <w:tab/>
        <w:t>bokor@pmh.dunanet.hu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Telefonszáma:</w:t>
        <w:tab/>
        <w:t>06-25-544-151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Iktatószám:</w:t>
        <w:tab/>
      </w:r>
      <w:r>
        <w:rPr>
          <w:rFonts w:cs="Arial" w:ascii="Arial" w:hAnsi="Arial"/>
          <w:color w:val="000000"/>
        </w:rPr>
        <w:t>1762-4</w:t>
      </w:r>
      <w:r>
        <w:rPr>
          <w:rFonts w:cs="Arial" w:ascii="Arial" w:hAnsi="Arial"/>
          <w:color w:val="000000"/>
        </w:rPr>
        <w:t>/201</w:t>
      </w:r>
      <w:r>
        <w:rPr>
          <w:rFonts w:cs="Arial" w:ascii="Arial" w:hAnsi="Arial"/>
          <w:color w:val="000000"/>
        </w:rPr>
        <w:t>6</w:t>
      </w:r>
    </w:p>
    <w:p>
      <w:pPr>
        <w:pStyle w:val="Normal"/>
        <w:tabs>
          <w:tab w:val="left" w:pos="-2520" w:leader="none"/>
        </w:tabs>
        <w:ind w:left="2340" w:right="0" w:hanging="234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Előkészítő aláírása:</w:t>
        <w:tab/>
        <w:t>Bokor Zsuzsanna</w:t>
        <w:tab/>
        <w:t xml:space="preserve"> </w:t>
      </w:r>
      <w:r>
        <w:rPr>
          <w:rFonts w:cs="Arial" w:ascii="Arial" w:hAnsi="Arial"/>
          <w:color w:val="000000"/>
        </w:rPr>
        <w:t>sk.</w:t>
      </w:r>
    </w:p>
    <w:p>
      <w:pPr>
        <w:pStyle w:val="Normal"/>
        <w:tabs>
          <w:tab w:val="left" w:pos="450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Igazgató / Osztályvezető aláírása:</w:t>
        <w:tab/>
        <w:t>d</w:t>
      </w:r>
      <w:r>
        <w:rPr>
          <w:rFonts w:cs="Arial" w:ascii="Arial" w:hAnsi="Arial"/>
          <w:b w:val="false"/>
          <w:bCs w:val="false"/>
          <w:color w:val="000000"/>
        </w:rPr>
        <w:t xml:space="preserve">r. László Borbála </w:t>
      </w:r>
      <w:r>
        <w:rPr>
          <w:rFonts w:cs="Arial" w:ascii="Arial" w:hAnsi="Arial"/>
          <w:b w:val="false"/>
          <w:bCs w:val="false"/>
          <w:color w:val="000000"/>
        </w:rPr>
        <w:t>sk.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törvényességi ellenőrzésre vonatkozó adatok: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Törvényességi ellenőrzést végző személy:</w:t>
        <w:tab/>
        <w:t xml:space="preserve">dr. Petánszki Lajos </w:t>
      </w:r>
      <w:r>
        <w:rPr>
          <w:rFonts w:cs="Arial" w:ascii="Arial" w:hAnsi="Arial"/>
          <w:color w:val="000000"/>
        </w:rPr>
        <w:t>sk.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Leadás dátuma:</w:t>
        <w:tab/>
        <w:t>201</w:t>
      </w:r>
      <w:r>
        <w:rPr>
          <w:rFonts w:cs="Arial" w:ascii="Arial" w:hAnsi="Arial"/>
          <w:color w:val="000000"/>
        </w:rPr>
        <w:t>6</w:t>
      </w:r>
      <w:r>
        <w:rPr>
          <w:rFonts w:cs="Arial" w:ascii="Arial" w:hAnsi="Arial"/>
          <w:color w:val="000000"/>
        </w:rPr>
        <w:t>. 02.0</w:t>
      </w:r>
      <w:r>
        <w:rPr>
          <w:rFonts w:cs="Arial" w:ascii="Arial" w:hAnsi="Arial"/>
          <w:color w:val="000000"/>
        </w:rPr>
        <w:t>2.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Ellenőrzés dátuma:</w:t>
        <w:tab/>
        <w:t>201</w:t>
      </w:r>
      <w:r>
        <w:rPr>
          <w:rFonts w:cs="Arial" w:ascii="Arial" w:hAnsi="Arial"/>
          <w:color w:val="auto"/>
          <w:sz w:val="24"/>
          <w:szCs w:val="24"/>
        </w:rPr>
        <w:t>6</w:t>
      </w:r>
      <w:r>
        <w:rPr>
          <w:rFonts w:cs="Arial" w:ascii="Arial" w:hAnsi="Arial"/>
          <w:color w:val="auto"/>
          <w:sz w:val="24"/>
          <w:szCs w:val="24"/>
        </w:rPr>
        <w:t>. 02.0</w:t>
      </w:r>
      <w:r>
        <w:rPr>
          <w:rFonts w:cs="Arial" w:ascii="Arial" w:hAnsi="Arial"/>
          <w:color w:val="auto"/>
          <w:sz w:val="24"/>
          <w:szCs w:val="24"/>
        </w:rPr>
        <w:t>3.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Törvényességi észrevétel:</w:t>
        <w:tab/>
        <w:t>Van/</w:t>
      </w:r>
      <w:r>
        <w:rPr>
          <w:rFonts w:cs="Arial" w:ascii="Arial" w:hAnsi="Arial"/>
          <w:color w:val="000000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Amennyiben van:</w:t>
        <w:tab/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Az elfogadáshoz szükséges szavazati arány:   </w:t>
      </w:r>
      <w:r>
        <w:rPr>
          <w:rFonts w:cs="Arial" w:ascii="Arial" w:hAnsi="Arial"/>
          <w:b w:val="false"/>
          <w:bCs w:val="false"/>
          <w:color w:val="000000"/>
          <w:u w:val="single"/>
        </w:rPr>
        <w:t xml:space="preserve"> egyszerű </w:t>
      </w:r>
      <w:r>
        <w:rPr>
          <w:rFonts w:cs="Arial" w:ascii="Arial" w:hAnsi="Arial"/>
          <w:b w:val="false"/>
          <w:bCs w:val="false"/>
          <w:color w:val="000000"/>
          <w:u w:val="none"/>
        </w:rPr>
        <w:t>/</w:t>
      </w:r>
      <w:r>
        <w:rPr>
          <w:rFonts w:cs="Arial" w:ascii="Arial" w:hAnsi="Arial"/>
          <w:b w:val="false"/>
          <w:bCs w:val="false"/>
          <w:color w:val="000000"/>
        </w:rPr>
        <w:t xml:space="preserve"> minősített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color w:val="000000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  <w:t>A tárgyalás módja:</w:t>
      </w:r>
      <w:r>
        <w:rPr>
          <w:rFonts w:cs="Arial" w:ascii="Arial" w:hAnsi="Arial"/>
          <w:color w:val="000000"/>
          <w:sz w:val="28"/>
          <w:szCs w:val="28"/>
        </w:rPr>
        <w:tab/>
      </w:r>
      <w:r>
        <w:rPr>
          <w:rFonts w:cs="Arial" w:ascii="Arial" w:hAnsi="Arial"/>
          <w:b/>
          <w:color w:val="000000"/>
          <w:sz w:val="28"/>
          <w:szCs w:val="28"/>
        </w:rPr>
        <w:t>Nyílt ülés</w:t>
      </w:r>
    </w:p>
    <w:p>
      <w:pPr>
        <w:pStyle w:val="Normal"/>
        <w:numPr>
          <w:ilvl w:val="0"/>
          <w:numId w:val="0"/>
        </w:numPr>
        <w:autoSpaceDE w:val="false"/>
        <w:spacing w:before="240" w:after="240"/>
        <w:ind w:left="0" w:right="0" w:hanging="0"/>
        <w:jc w:val="both"/>
        <w:outlineLvl w:val="2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z w:val="20"/>
          <w:szCs w:val="20"/>
          <w:u w:val="single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0"/>
          <w:szCs w:val="20"/>
          <w:u w:val="single"/>
        </w:rPr>
        <w:t xml:space="preserve">Egyéb megjegyzések: </w:t>
      </w:r>
    </w:p>
    <w:p>
      <w:pPr>
        <w:pStyle w:val="Alcm"/>
        <w:autoSpaceDE w:val="false"/>
        <w:spacing w:before="240" w:after="240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Alcm"/>
        <w:autoSpaceDE w:val="false"/>
        <w:spacing w:before="240" w:after="240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JAVASLAT</w:t>
      </w:r>
    </w:p>
    <w:p>
      <w:pPr>
        <w:pStyle w:val="Alcm"/>
        <w:autoSpaceDE w:val="false"/>
        <w:spacing w:before="240" w:after="240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az Intercisa Múzeum 201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5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. évi beszámolójának és 201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6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. évi munkatervének jóváhagyására</w:t>
      </w:r>
    </w:p>
    <w:p>
      <w:pPr>
        <w:pStyle w:val="Normal"/>
        <w:autoSpaceDE w:val="false"/>
        <w:spacing w:before="240" w:after="240"/>
        <w:ind w:left="0" w:right="0" w:hanging="0"/>
        <w:jc w:val="both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z w:val="22"/>
          <w:szCs w:val="22"/>
        </w:rPr>
        <w:t>Tisztelt Közgyűlés!</w:t>
      </w:r>
    </w:p>
    <w:p>
      <w:pPr>
        <w:pStyle w:val="Normal"/>
        <w:autoSpaceDE w:val="false"/>
        <w:spacing w:before="240" w:after="24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z w:val="22"/>
          <w:szCs w:val="22"/>
        </w:rPr>
        <w:t>A muzeális intézményekről, a nyilvános könyvtári ellátásról és a közművelődésről szóló 1997. évi CXL. törvény 50. § (2) bekezdése értelmében:</w:t>
      </w:r>
    </w:p>
    <w:p>
      <w:pPr>
        <w:pStyle w:val="Normal"/>
        <w:autoSpaceDE w:val="false"/>
        <w:spacing w:before="0" w:after="0"/>
        <w:ind w:left="0" w:right="0" w:firstLine="204"/>
        <w:jc w:val="both"/>
        <w:rPr>
          <w:rFonts w:ascii="Arial" w:hAnsi="Arial" w:eastAsia="Times New Roman" w:cs="Times New Roman"/>
          <w:i/>
          <w:i/>
          <w:iCs/>
          <w:sz w:val="22"/>
          <w:szCs w:val="22"/>
        </w:rPr>
      </w:pPr>
      <w:r>
        <w:rPr>
          <w:rFonts w:eastAsia="Times New Roman" w:cs="Times New Roman" w:ascii="Arial" w:hAnsi="Arial"/>
          <w:i/>
          <w:iCs/>
          <w:sz w:val="22"/>
          <w:szCs w:val="22"/>
        </w:rPr>
        <w:t>(2) A fenntartó az e törvényben foglaltak alapján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firstLine="204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2"/>
          <w:szCs w:val="22"/>
          <w:u w:val="none"/>
        </w:rPr>
        <w:t xml:space="preserve">a) meghatározza és </w:t>
      </w:r>
      <w:r>
        <w:rPr>
          <w:rFonts w:eastAsia="Times New Roman" w:cs="Times New Roman" w:ascii="Arial" w:hAnsi="Arial"/>
          <w:b/>
          <w:bCs/>
          <w:i/>
          <w:iCs/>
          <w:color w:val="000000"/>
          <w:sz w:val="22"/>
          <w:szCs w:val="22"/>
          <w:u w:val="none"/>
        </w:rPr>
        <w:t>jóváhagyja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2"/>
          <w:szCs w:val="22"/>
          <w:u w:val="none"/>
        </w:rPr>
        <w:t xml:space="preserve"> a muzeális intézmény éves és középtávú feladatait, így különösen stratégiai tervét, </w:t>
      </w:r>
      <w:r>
        <w:rPr>
          <w:rFonts w:eastAsia="Times New Roman" w:cs="Times New Roman" w:ascii="Arial" w:hAnsi="Arial"/>
          <w:b/>
          <w:bCs/>
          <w:i/>
          <w:iCs/>
          <w:color w:val="000000"/>
          <w:sz w:val="22"/>
          <w:szCs w:val="22"/>
          <w:u w:val="none"/>
        </w:rPr>
        <w:t>munkatervét és beszámolóját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2"/>
          <w:szCs w:val="22"/>
          <w:u w:val="none"/>
        </w:rPr>
        <w:t>, fejlesztési és beruházási feladatait,</w:t>
      </w:r>
    </w:p>
    <w:p>
      <w:pPr>
        <w:pStyle w:val="Normal"/>
        <w:autoSpaceDE w:val="false"/>
        <w:spacing w:before="240" w:after="24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Az 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51/2014. (XII. 10.) EMMI rendelet a múzeum, valamint az országos szakkönyvtár és a megyei könyvtár éves munkatervéhez szükséges szakmai mutatókról 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>szól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. A múzeumra vonatkozó szakmai mutatókat a rendelet 1. számú melléklete tartalmazza.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</w:rPr>
        <w:t>A rendelet 1.§-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</w:rPr>
        <w:t>a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értelmében: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 A szakmai mutatót a feladat megvalósításának szöveges leírásával együtt kell alkalmazni. 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 Intercisa Múzeum elkészítette és benyújtotta a 201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5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 évi beszámolóját, munkajelentés elnevezéssel (Lásd határozat 1. számú melléklete) és a 201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6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 évi munkatervét (Lásd határozat 2. számú melléklet).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single"/>
        </w:rPr>
        <w:t xml:space="preserve">2015. évi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single"/>
        </w:rPr>
        <w:t>beszámoló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beszámoló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az egyes munkatársak egyéni jelentéseiből tevődik össze,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és a végén IX. fejezetként a szakmai mutatók összesítéséből.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  <w:t>Farkas Lajos igazgató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sikeresen elvégezte a Múzeumi vezetői ismeretek képzést.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 év folyamán 4 munkavállaló hagyta el az intézményt, mindegyikük helyére új munkatársat vettek fel. 2 új álláshely jött létre a múzeumi adatrögzítő és egy műtárgyvédelmi asszisztensi, amelyet szintén betöltöttek.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 év folyamán 2 országos jelentőségű kiállítást rendeztek a Zsidó kéziratok és szertartási tárgyak  címűt, ill. a Királyi ajándékok (Tito elnök koronás főktől kapott ajándéktárgyai)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 önkormányzati pályázatok mellett eredményesen pályáztak az EMMI szakmai pályázatán, ahol 1 millió Ft-ot nyertek régészeti leleteket bemutató vándorkiállításra.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  <w:t>Múzeumpedagógus jelentése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múzeum kiállításai: nagyteremben 7 időszaki kiállítás volt, a kisteremben 5.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múzeumpedagógiai és egyéb rendezvények látogatottsága összesen 13752 fő, ebből 7969 felnőtt, és 5783 fő diák. 18 ismereterjesztő előadást tartottak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és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68 iskolai oktatást segítő programot 1363 résztvevővel, 161 szabadidős programot 4618 fő résztvevővel.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  <w:t>régészek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több helyen végeztek a városban és a járás területén megelőző feltárást.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Régészeti leletek bemutatása érdekében több kiállítást állítottak össze (Mezőfalva, Adony, Kisapostag és Előszállás anyagaiból) A Dunaújvárosi járás régészeti leleteiről készített anyagot 4 iskolában is bemutatták. Mindketten több tárlatvezetést és előadást is tartottak. Keszi Tamás folytatta a múzeum gyűjteményének digitalizálását, és elvégezte a múzeumi kiállítások fotódokumentációját.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  <w:t xml:space="preserve"> restaurátorok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részletesen felsorolták az általuk tisztított, konzervált, restaurált, illetve kiállításokra előkészített tárgyakat. A papírrestaurátori tevékenység esetében részletes leírást kaptunk az egyes munkákról.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jelentés értelmében a régészeti tárgyak kezelése kiemelkedően magas 11750 db, de jelentős a történeti 186 db, és a néprajzi 219 db is.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múzeum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  <w:t xml:space="preserve"> történésze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augusztus végén GYED-re ment, így új munkatársat alkalmaztak.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Nagyné Hodik Mónika az év első felében több kiállítást szervezett, a Dunaferr gyártörténeti gyűjteményében is kutatta a város építésének időszakát.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Mindkét munkatárs részt vett a múzeumi rendezvények és kiállítások előkészítésében, és tárgyleírásokat készítettek a hónap műtárgya sorozathoz. 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  <w:t>A néprajzkutató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részt vett kiállítások előkészítésében, előadást tartott a különböző múzeumi napokon. 3 alkalommal publikált a hónap műtárgya sorozatban. 38 csoportnak tartott néprajzi foglalkozást a múzeumpedagógiai sorozat keretében.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IX. fejezet az alábbi szakterületekről tartalmaz mutatószámokat: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I. Szolgáltatási feladatok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1 közművelődési rendezvények, előadások, kiadványok száma, önkéntese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2. múzeumpedagógiai foglalkozások, tehetséggondozást segítő programok, iskolákkal kötött megállapodások száma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II. Kiállítási tevékenység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Állandó kiállítás és látogatói, időszaki kiállítások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III. Gyűjteménygyarapítás adatai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IV. Tudományos kutatás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V. Műtárgyvédelem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single"/>
        </w:rPr>
        <w:t>201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single"/>
        </w:rPr>
        <w:t>6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single"/>
        </w:rPr>
        <w:t>. évi munkaterv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  <w:t xml:space="preserve"> 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munkaterv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is munkatársakra lebontva tartalmazza az elképzeléseket, amelyekből néhány dolgot kiemelünk: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Farkas Lajos, igazgató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felsorolja a tervezett fontosabb kiállításokat és előadásokat.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M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egfogalmazott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egy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3 évre vonatkozó stratégia tervet is, amelyben az alapelvek rögzítését követően egy új állandó kiállítás megrendezését veti fel, hangsúlyozza a múzeumpedagógiai tevékenység fontosságát.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régészek továbbra is megelőző feltárásokat végeznek, és a régészeti kiállítássorozatot folytatják.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Pillanatnyilag 1 felsőfokú végzettségű r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estaurátor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van és két fő középfokú szakképzésben résztvevő segítője. Ásatáson előkerült anyagok restaurálását folytatják (Iváncsa Lapos, Baracs),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k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özép-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urópai egyenruhák tisztítását, és egy 1873-as Szent Biblia restaurálást tervezik.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történész leltározás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 munkák elvégzését tervezi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, több időszaki kiállítást tervez, tanulmányt készít a múzeumi évkönyvhöz.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néprajzkutató is készít tanulmányt a tervezett évkönyvbe,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továbbá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két néprajzi kiállítást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is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tervez.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munkaterv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IX. fejezete is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tartalmazza a szakmai mutatók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at, az előző évi beszámolóval összevetve a rendezvények és kiállítások számát tekintve emeléssel, a látogatók számát tekintve kis mértékű csökkenéssel számolnak. 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both"/>
        <w:outlineLvl w:val="2"/>
        <w:rPr>
          <w:rFonts w:ascii="Arial" w:hAnsi="Arial" w:eastAsia="Times New Roman" w:cs="Times New Roman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2"/>
          <w:szCs w:val="22"/>
          <w:u w:val="none"/>
        </w:rPr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Az előterjesztést az </w:t>
      </w:r>
      <w:r>
        <w:rPr>
          <w:rFonts w:cs="Arial" w:ascii="Arial" w:hAnsi="Arial"/>
          <w:color w:val="auto"/>
          <w:sz w:val="22"/>
          <w:szCs w:val="22"/>
          <w:u w:val="none"/>
        </w:rPr>
        <w:t xml:space="preserve">oktatási, kulturális, ifjúsági és sport bizottság a február </w:t>
      </w:r>
      <w:r>
        <w:rPr>
          <w:rFonts w:cs="Arial" w:ascii="Arial" w:hAnsi="Arial"/>
          <w:color w:val="auto"/>
          <w:sz w:val="22"/>
          <w:szCs w:val="22"/>
          <w:u w:val="none"/>
        </w:rPr>
        <w:t>9</w:t>
      </w:r>
      <w:r>
        <w:rPr>
          <w:rFonts w:cs="Arial" w:ascii="Arial" w:hAnsi="Arial"/>
          <w:color w:val="auto"/>
          <w:sz w:val="22"/>
          <w:szCs w:val="22"/>
          <w:u w:val="none"/>
        </w:rPr>
        <w:t xml:space="preserve">-ei ülésén tárgyalta, </w:t>
      </w:r>
      <w:r>
        <w:rPr>
          <w:rFonts w:cs="Arial" w:ascii="Arial" w:hAnsi="Arial"/>
          <w:color w:val="auto"/>
          <w:sz w:val="22"/>
          <w:szCs w:val="22"/>
          <w:u w:val="none"/>
        </w:rPr>
        <w:t>és 7 igen, egyhangú szavazattal támogatta a határozati javaslatban foglaltakat.</w:t>
      </w:r>
    </w:p>
    <w:p>
      <w:pPr>
        <w:pStyle w:val="Normal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cs="Arial" w:ascii="Arial" w:hAnsi="Arial"/>
          <w:color w:val="auto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A fentiek alapján az alábbi határozati javaslatot terjesztem elő: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HATÁROZATI JAVASLAT</w:t>
      </w:r>
    </w:p>
    <w:p>
      <w:pPr>
        <w:pStyle w:val="Normal"/>
        <w:ind w:left="0" w:right="0" w:hanging="0"/>
        <w:jc w:val="center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Dunaújváros Megyei Jogú Város Közgyűlésének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  <w:t>.../201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  <w:t>6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  <w:t>. (II. 1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  <w:t>8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  <w:t>.) határozata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i w:val="false"/>
          <w:iCs w:val="false"/>
          <w:color w:val="000000"/>
          <w:sz w:val="22"/>
          <w:szCs w:val="22"/>
          <w:u w:val="none"/>
          <w:lang w:eastAsia="hu-HU"/>
        </w:rPr>
        <w:t>az Intercisa Múzeum 201</w:t>
      </w:r>
      <w:r>
        <w:rPr>
          <w:rStyle w:val="Ershangslyozs"/>
          <w:rFonts w:cs="Arial" w:ascii="Arial" w:hAnsi="Arial"/>
          <w:i w:val="false"/>
          <w:iCs w:val="false"/>
          <w:color w:val="000000"/>
          <w:sz w:val="22"/>
          <w:szCs w:val="22"/>
          <w:u w:val="none"/>
          <w:lang w:eastAsia="hu-HU"/>
        </w:rPr>
        <w:t>5</w:t>
      </w:r>
      <w:r>
        <w:rPr>
          <w:rStyle w:val="Ershangslyozs"/>
          <w:rFonts w:cs="Arial" w:ascii="Arial" w:hAnsi="Arial"/>
          <w:i w:val="false"/>
          <w:iCs w:val="false"/>
          <w:color w:val="000000"/>
          <w:sz w:val="22"/>
          <w:szCs w:val="22"/>
          <w:u w:val="none"/>
          <w:lang w:eastAsia="hu-HU"/>
        </w:rPr>
        <w:t>. évi beszámolójának és 201</w:t>
      </w:r>
      <w:r>
        <w:rPr>
          <w:rStyle w:val="Ershangslyozs"/>
          <w:rFonts w:cs="Arial" w:ascii="Arial" w:hAnsi="Arial"/>
          <w:i w:val="false"/>
          <w:iCs w:val="false"/>
          <w:color w:val="000000"/>
          <w:sz w:val="22"/>
          <w:szCs w:val="22"/>
          <w:u w:val="none"/>
          <w:lang w:eastAsia="hu-HU"/>
        </w:rPr>
        <w:t>6</w:t>
      </w:r>
      <w:r>
        <w:rPr>
          <w:rStyle w:val="Ershangslyozs"/>
          <w:rFonts w:cs="Arial" w:ascii="Arial" w:hAnsi="Arial"/>
          <w:i w:val="false"/>
          <w:iCs w:val="false"/>
          <w:color w:val="000000"/>
          <w:sz w:val="22"/>
          <w:szCs w:val="22"/>
          <w:u w:val="none"/>
          <w:lang w:eastAsia="hu-HU"/>
        </w:rPr>
        <w:t>. évi munkatervének jóváhagyásáról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center"/>
        <w:rPr>
          <w:rStyle w:val="Ershangslyozs"/>
          <w:rFonts w:ascii="Arial" w:hAnsi="Arial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center"/>
        <w:rPr>
          <w:rStyle w:val="Ershangslyozs"/>
          <w:rFonts w:ascii="Arial" w:hAnsi="Arial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1. Dunaújváros Megyei Jogú Város Közgyűlése jóváhagyja az Intercisa Múzeum 201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5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 évi, a határozat 1. számú mellékletét képező beszámolóját.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/>
          <w:b w:val="false"/>
          <w:b w:val="false"/>
          <w:bCs w:val="false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  <w:t xml:space="preserve">Felelős: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határozat közléséért: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     a polgármester 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     a határozat közlésében való közreműködésért: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  a jogi és szervezési igazgatóság igazgatója 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284" w:right="0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</w:t>
      </w: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Határidő: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201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6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 február 2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9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2. Dunaújváros Megyei Jogú Város Közgyűlése jóváhagyja az Intercisa Múzeum 201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6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 évi, a határozat 2. számú mellékletét képező munkatervét.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/>
          <w:b w:val="false"/>
          <w:b w:val="false"/>
          <w:bCs w:val="false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  <w:t xml:space="preserve">Felelős: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határozat közléséért: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     a polgármester 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     a határozat közlésében való közreműködésért: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  a jogi és szervezési igazgatóság igazgatója 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</w:t>
      </w: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Határidő: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201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6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 február 2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9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Dunaújváros, 201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6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 február 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8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284" w:right="0" w:hanging="15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284" w:right="0" w:hanging="15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eastAsia="Arial;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val="hu-HU" w:eastAsia="hu-HU"/>
        </w:rPr>
        <w:t xml:space="preserve">          </w:t>
      </w:r>
      <w:r>
        <w:rPr>
          <w:rStyle w:val="Ershangslyozs"/>
          <w:rFonts w:eastAsia="Arial;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val="hu-HU" w:eastAsia="hu-HU"/>
        </w:rPr>
        <w:tab/>
        <w:tab/>
        <w:tab/>
        <w:tab/>
        <w:tab/>
        <w:tab/>
        <w:tab/>
        <w:tab/>
        <w:t xml:space="preserve">      Sztankovics László s.k.</w:t>
      </w:r>
    </w:p>
    <w:p>
      <w:pPr>
        <w:pStyle w:val="Normal"/>
        <w:tabs>
          <w:tab w:val="left" w:pos="5805" w:leader="none"/>
        </w:tabs>
        <w:autoSpaceDE w:val="false"/>
        <w:spacing w:lineRule="auto" w:line="240" w:before="0" w:after="0"/>
        <w:ind w:left="0" w:right="0" w:hanging="0"/>
        <w:jc w:val="left"/>
        <w:rPr>
          <w:rFonts w:ascii="Arial" w:hAnsi="Arial" w:eastAsia="Arial;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val="hu-HU" w:eastAsia="hu-HU"/>
        </w:rPr>
      </w:pPr>
      <w:r>
        <w:rPr>
          <w:rStyle w:val="Ershangslyozs"/>
          <w:rFonts w:eastAsia="Arial;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val="hu-HU" w:eastAsia="hu-HU"/>
        </w:rPr>
        <w:t xml:space="preserve"> </w:t>
      </w:r>
      <w:r>
        <w:rPr>
          <w:rStyle w:val="Ershangslyozs"/>
          <w:rFonts w:eastAsia="Arial;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val="hu-HU" w:eastAsia="hu-HU"/>
        </w:rPr>
        <w:tab/>
        <w:t>az oktatási, kulturális, ifjúsági</w:t>
      </w:r>
    </w:p>
    <w:p>
      <w:pPr>
        <w:pStyle w:val="Normal"/>
        <w:numPr>
          <w:ilvl w:val="0"/>
          <w:numId w:val="0"/>
        </w:numPr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outlineLvl w:val="2"/>
        <w:rPr>
          <w:rFonts w:ascii="Arial" w:hAnsi="Arial" w:eastAsia="Arial;Times New Roman" w:cs="Arial"/>
          <w:sz w:val="22"/>
          <w:szCs w:val="22"/>
        </w:rPr>
      </w:pPr>
      <w:r>
        <w:rPr>
          <w:rStyle w:val="Ershangslyozs"/>
          <w:rFonts w:eastAsia="Arial;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val="hu-HU" w:eastAsia="hu-HU"/>
        </w:rPr>
        <w:tab/>
        <w:tab/>
        <w:tab/>
        <w:tab/>
        <w:tab/>
        <w:tab/>
        <w:tab/>
        <w:tab/>
        <w:t xml:space="preserve">    és sportbizottság elnöke</w:t>
      </w:r>
    </w:p>
    <w:p>
      <w:pPr>
        <w:pStyle w:val="Normal"/>
        <w:autoSpaceDE w:val="false"/>
        <w:spacing w:before="240" w:after="0"/>
        <w:ind w:left="0" w:right="0" w:firstLine="204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rial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Alcm">
    <w:name w:val="Alcím"/>
    <w:basedOn w:val="Normal"/>
    <w:next w:val="Szvegtrzs"/>
    <w:pPr>
      <w:jc w:val="center"/>
    </w:pPr>
    <w:rPr>
      <w:b/>
      <w:i/>
      <w:sz w:val="28"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Application>LibreOffice/5.0.1.2$Windows_x86 LibreOffice_project/81898c9f5c0d43f3473ba111d7b351050be20261</Application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2016-01-21T10:38:53Z</dcterms:created>
  <dc:language>hu-HU</dc:language>
  <cp:lastPrinted>2016-02-01T15:34:10Z</cp:lastPrinted>
  <dcterms:modified xsi:type="dcterms:W3CDTF">2016-02-10T10:56:46Z</dcterms:modified>
  <cp:revision>7</cp:revision>
</cp:coreProperties>
</file>