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2E" w:rsidRDefault="004B7BE4" w:rsidP="003858F1">
      <w:pPr>
        <w:spacing w:line="240" w:lineRule="auto"/>
        <w:jc w:val="right"/>
        <w:rPr>
          <w:rFonts w:ascii="Arial" w:hAnsi="Arial" w:cs="Arial"/>
          <w:b/>
        </w:rPr>
      </w:pPr>
      <w:r>
        <w:rPr>
          <w:rFonts w:ascii="Arial" w:hAnsi="Arial" w:cs="Arial"/>
          <w:b/>
        </w:rPr>
        <w:t xml:space="preserve">5. melléklet </w:t>
      </w:r>
      <w:r w:rsidR="00605539">
        <w:rPr>
          <w:rFonts w:ascii="Arial" w:hAnsi="Arial" w:cs="Arial"/>
          <w:b/>
          <w:bCs/>
          <w:iCs/>
        </w:rPr>
        <w:t xml:space="preserve">a 43/2017. (XII.22.) </w:t>
      </w:r>
      <w:r>
        <w:rPr>
          <w:rFonts w:ascii="Arial" w:hAnsi="Arial" w:cs="Arial"/>
          <w:b/>
        </w:rPr>
        <w:t>önkormányzati rendelethez</w:t>
      </w:r>
      <w:r w:rsidR="005B7350">
        <w:rPr>
          <w:rStyle w:val="Lbjegyzet-hivatkozs"/>
          <w:rFonts w:ascii="Arial" w:hAnsi="Arial" w:cs="Arial"/>
          <w:b/>
        </w:rPr>
        <w:footnoteReference w:customMarkFollows="1" w:id="1"/>
        <w:t>95</w:t>
      </w:r>
    </w:p>
    <w:p w:rsidR="0074122E" w:rsidRDefault="0074122E">
      <w:pPr>
        <w:spacing w:line="240" w:lineRule="auto"/>
        <w:jc w:val="both"/>
        <w:rPr>
          <w:rFonts w:ascii="Arial" w:hAnsi="Arial" w:cs="Arial"/>
        </w:rPr>
      </w:pPr>
    </w:p>
    <w:p w:rsidR="0074122E" w:rsidRPr="00724FA6" w:rsidRDefault="00724FA6">
      <w:pPr>
        <w:spacing w:line="240" w:lineRule="auto"/>
        <w:jc w:val="both"/>
        <w:rPr>
          <w:rFonts w:ascii="Arial" w:hAnsi="Arial" w:cs="Arial"/>
          <w:b/>
          <w:bCs/>
        </w:rPr>
      </w:pPr>
      <w:r w:rsidRPr="00724FA6">
        <w:rPr>
          <w:rFonts w:ascii="Arial" w:hAnsi="Arial" w:cs="Arial"/>
          <w:b/>
          <w:bCs/>
        </w:rPr>
        <w:t xml:space="preserve">1. </w:t>
      </w:r>
      <w:r w:rsidR="004B7BE4" w:rsidRPr="00724FA6">
        <w:rPr>
          <w:rFonts w:ascii="Arial" w:hAnsi="Arial" w:cs="Arial"/>
          <w:b/>
          <w:bCs/>
        </w:rPr>
        <w:t xml:space="preserve">A </w:t>
      </w:r>
      <w:r w:rsidR="002B2F54" w:rsidRPr="00724FA6">
        <w:rPr>
          <w:rFonts w:ascii="Arial" w:hAnsi="Arial" w:cs="Arial"/>
          <w:b/>
          <w:bCs/>
        </w:rPr>
        <w:t xml:space="preserve">jegyző </w:t>
      </w:r>
      <w:r w:rsidR="00DB07B3" w:rsidRPr="00724FA6">
        <w:rPr>
          <w:rFonts w:ascii="Arial" w:hAnsi="Arial" w:cs="Arial"/>
          <w:b/>
          <w:bCs/>
        </w:rPr>
        <w:t xml:space="preserve">a </w:t>
      </w:r>
      <w:r w:rsidR="004B7BE4" w:rsidRPr="00724FA6">
        <w:rPr>
          <w:rFonts w:ascii="Arial" w:hAnsi="Arial" w:cs="Arial"/>
          <w:b/>
          <w:bCs/>
        </w:rPr>
        <w:t>településképi véleményét a főépítész szakmai véleményére alapozza az alábbi építési engedéllyel végezhető építési tevékenységek esetében</w:t>
      </w:r>
      <w:r w:rsidR="00DB07B3" w:rsidRPr="00724FA6">
        <w:rPr>
          <w:rFonts w:ascii="Arial" w:hAnsi="Arial" w:cs="Arial"/>
          <w:b/>
          <w:bCs/>
        </w:rPr>
        <w:t>.</w:t>
      </w:r>
    </w:p>
    <w:p w:rsidR="0074122E" w:rsidRDefault="004B7BE4">
      <w:pPr>
        <w:spacing w:line="240" w:lineRule="auto"/>
        <w:jc w:val="both"/>
        <w:rPr>
          <w:rFonts w:ascii="Arial" w:hAnsi="Arial" w:cs="Arial"/>
        </w:rPr>
      </w:pPr>
      <w:r>
        <w:rPr>
          <w:rFonts w:ascii="Arial" w:hAnsi="Arial" w:cs="Arial"/>
        </w:rPr>
        <w:t>1. Beépítésre szánt területen megvalósuló</w:t>
      </w:r>
    </w:p>
    <w:p w:rsidR="0074122E" w:rsidRDefault="004B7BE4">
      <w:pPr>
        <w:spacing w:line="240" w:lineRule="auto"/>
        <w:ind w:left="567"/>
        <w:jc w:val="both"/>
      </w:pPr>
      <w:r>
        <w:rPr>
          <w:rFonts w:ascii="Arial" w:hAnsi="Arial" w:cs="Arial"/>
        </w:rPr>
        <w:t xml:space="preserve">a) 500-2000 m2 összes bruttó szintterületű kereskedelmi, ipari, logisztikai rendeltetésű; </w:t>
      </w:r>
    </w:p>
    <w:p w:rsidR="0074122E" w:rsidRDefault="004B7BE4">
      <w:pPr>
        <w:spacing w:line="240" w:lineRule="auto"/>
        <w:ind w:left="567"/>
        <w:jc w:val="both"/>
        <w:rPr>
          <w:rFonts w:ascii="Arial" w:hAnsi="Arial" w:cs="Arial"/>
        </w:rPr>
      </w:pPr>
      <w:r>
        <w:rPr>
          <w:rFonts w:ascii="Arial" w:hAnsi="Arial" w:cs="Arial"/>
        </w:rPr>
        <w:t>b) 500-1000 m2 összes bruttó szintterület</w:t>
      </w:r>
      <w:r w:rsidR="00041941">
        <w:rPr>
          <w:rFonts w:ascii="Arial" w:hAnsi="Arial" w:cs="Arial"/>
        </w:rPr>
        <w:t>ű</w:t>
      </w:r>
      <w:r w:rsidR="00DB07B3">
        <w:rPr>
          <w:rFonts w:ascii="Arial" w:hAnsi="Arial" w:cs="Arial"/>
        </w:rPr>
        <w:t xml:space="preserve"> </w:t>
      </w:r>
      <w:r>
        <w:rPr>
          <w:rFonts w:ascii="Arial" w:hAnsi="Arial" w:cs="Arial"/>
        </w:rPr>
        <w:t xml:space="preserve">egyéb rendeltetésű; </w:t>
      </w:r>
    </w:p>
    <w:p w:rsidR="00DF047C" w:rsidRPr="00DB07B3" w:rsidRDefault="00DF047C">
      <w:pPr>
        <w:spacing w:line="240" w:lineRule="auto"/>
        <w:ind w:left="567"/>
        <w:jc w:val="both"/>
        <w:rPr>
          <w:rFonts w:ascii="Arial" w:hAnsi="Arial" w:cs="Arial"/>
        </w:rPr>
      </w:pPr>
      <w:r w:rsidRPr="00390ECF">
        <w:rPr>
          <w:rFonts w:ascii="Arial" w:hAnsi="Arial" w:cs="Arial"/>
        </w:rPr>
        <w:t>c) mérettől függetlenül az utasváró,</w:t>
      </w:r>
    </w:p>
    <w:p w:rsidR="0074122E" w:rsidRDefault="00DF047C" w:rsidP="00DB07B3">
      <w:pPr>
        <w:spacing w:line="240" w:lineRule="auto"/>
        <w:ind w:left="567"/>
        <w:jc w:val="both"/>
        <w:rPr>
          <w:rFonts w:ascii="Arial" w:hAnsi="Arial" w:cs="Arial"/>
        </w:rPr>
      </w:pPr>
      <w:r>
        <w:rPr>
          <w:rFonts w:ascii="Arial" w:hAnsi="Arial" w:cs="Arial"/>
        </w:rPr>
        <w:t>d</w:t>
      </w:r>
      <w:r w:rsidR="00041941">
        <w:rPr>
          <w:rFonts w:ascii="Arial" w:hAnsi="Arial" w:cs="Arial"/>
        </w:rPr>
        <w:t>) 3-5</w:t>
      </w:r>
      <w:r w:rsidR="004B7BE4">
        <w:rPr>
          <w:rFonts w:ascii="Arial" w:hAnsi="Arial" w:cs="Arial"/>
        </w:rPr>
        <w:t xml:space="preserve"> önálló rendeltetési egységet tartalmazó </w:t>
      </w:r>
    </w:p>
    <w:p w:rsidR="0074122E" w:rsidRPr="00DB07B3" w:rsidRDefault="004B7BE4" w:rsidP="00DB07B3">
      <w:pPr>
        <w:spacing w:line="240" w:lineRule="auto"/>
        <w:ind w:left="567"/>
        <w:jc w:val="both"/>
        <w:rPr>
          <w:rFonts w:ascii="Arial" w:hAnsi="Arial" w:cs="Arial"/>
        </w:rPr>
      </w:pPr>
      <w:r>
        <w:rPr>
          <w:rFonts w:ascii="Arial" w:hAnsi="Arial" w:cs="Arial"/>
        </w:rPr>
        <w:t>új épület építése.</w:t>
      </w:r>
    </w:p>
    <w:p w:rsidR="0074122E" w:rsidRDefault="004B7BE4" w:rsidP="00DB07B3">
      <w:pPr>
        <w:spacing w:line="240" w:lineRule="auto"/>
        <w:jc w:val="both"/>
        <w:rPr>
          <w:rFonts w:ascii="Arial" w:hAnsi="Arial" w:cs="Arial"/>
        </w:rPr>
      </w:pPr>
      <w:r>
        <w:rPr>
          <w:rFonts w:ascii="Arial" w:hAnsi="Arial" w:cs="Arial"/>
        </w:rPr>
        <w:t>2. Közterületen, vagy önkormányzati tulajdonban</w:t>
      </w:r>
      <w:r w:rsidR="00DB07B3">
        <w:rPr>
          <w:rFonts w:ascii="Arial" w:hAnsi="Arial" w:cs="Arial"/>
        </w:rPr>
        <w:t>,</w:t>
      </w:r>
      <w:r>
        <w:rPr>
          <w:rFonts w:ascii="Arial" w:hAnsi="Arial" w:cs="Arial"/>
        </w:rPr>
        <w:t xml:space="preserve"> illetve kezelésben lévő</w:t>
      </w:r>
      <w:r w:rsidR="00D42165">
        <w:rPr>
          <w:rFonts w:ascii="Arial" w:hAnsi="Arial" w:cs="Arial"/>
        </w:rPr>
        <w:t xml:space="preserve">, </w:t>
      </w:r>
      <w:r w:rsidR="00D42165" w:rsidRPr="00390ECF">
        <w:rPr>
          <w:rFonts w:ascii="Arial" w:hAnsi="Arial" w:cs="Arial"/>
        </w:rPr>
        <w:t>valamint minden köz</w:t>
      </w:r>
      <w:r w:rsidR="00846194" w:rsidRPr="00390ECF">
        <w:rPr>
          <w:rFonts w:ascii="Arial" w:hAnsi="Arial" w:cs="Arial"/>
        </w:rPr>
        <w:t>használatú</w:t>
      </w:r>
      <w:r w:rsidR="00D42165" w:rsidRPr="00390ECF">
        <w:rPr>
          <w:rFonts w:ascii="Arial" w:hAnsi="Arial" w:cs="Arial"/>
        </w:rPr>
        <w:t xml:space="preserve"> </w:t>
      </w:r>
      <w:r>
        <w:rPr>
          <w:rFonts w:ascii="Arial" w:hAnsi="Arial" w:cs="Arial"/>
        </w:rPr>
        <w:t>épület</w:t>
      </w:r>
      <w:r w:rsidR="00DB07B3">
        <w:rPr>
          <w:rFonts w:ascii="Arial" w:hAnsi="Arial" w:cs="Arial"/>
        </w:rPr>
        <w:t xml:space="preserve"> </w:t>
      </w:r>
      <w:r>
        <w:rPr>
          <w:rFonts w:ascii="Arial" w:hAnsi="Arial" w:cs="Arial"/>
        </w:rPr>
        <w:t>építése, bővítése, melynek mérete az építési tevékenység után sem haladja meg a nettó 100,0 m</w:t>
      </w:r>
      <w:r>
        <w:rPr>
          <w:rFonts w:ascii="Arial" w:hAnsi="Arial" w:cs="Arial"/>
          <w:vertAlign w:val="superscript"/>
        </w:rPr>
        <w:t>2</w:t>
      </w:r>
      <w:r>
        <w:rPr>
          <w:rFonts w:ascii="Arial" w:hAnsi="Arial" w:cs="Arial"/>
        </w:rPr>
        <w:t xml:space="preserve"> alapterületet.</w:t>
      </w:r>
    </w:p>
    <w:p w:rsidR="0074122E" w:rsidRDefault="004B7BE4" w:rsidP="00DB07B3">
      <w:pPr>
        <w:spacing w:line="240" w:lineRule="auto"/>
        <w:jc w:val="both"/>
        <w:rPr>
          <w:rFonts w:ascii="Arial" w:hAnsi="Arial" w:cs="Arial"/>
        </w:rPr>
      </w:pPr>
      <w:r>
        <w:rPr>
          <w:rFonts w:ascii="Arial" w:hAnsi="Arial" w:cs="Arial"/>
        </w:rPr>
        <w:t>3. Helyi területi védelemmel érintett ingatlanon épület</w:t>
      </w:r>
      <w:r w:rsidR="00DB07B3">
        <w:rPr>
          <w:rFonts w:ascii="Arial" w:hAnsi="Arial" w:cs="Arial"/>
        </w:rPr>
        <w:t xml:space="preserve"> </w:t>
      </w:r>
      <w:r>
        <w:rPr>
          <w:rFonts w:ascii="Arial" w:hAnsi="Arial" w:cs="Arial"/>
        </w:rPr>
        <w:t xml:space="preserve">építése, bővítése, </w:t>
      </w:r>
      <w:r w:rsidR="00BC5241">
        <w:rPr>
          <w:rFonts w:ascii="Arial" w:hAnsi="Arial" w:cs="Arial"/>
        </w:rPr>
        <w:t xml:space="preserve">bontása, </w:t>
      </w:r>
      <w:r>
        <w:rPr>
          <w:rFonts w:ascii="Arial" w:hAnsi="Arial" w:cs="Arial"/>
        </w:rPr>
        <w:t>melynek mérete az építési tevékenység után sem haladja meg a nettó 100,0 m</w:t>
      </w:r>
      <w:r>
        <w:rPr>
          <w:rFonts w:ascii="Arial" w:hAnsi="Arial" w:cs="Arial"/>
          <w:vertAlign w:val="superscript"/>
        </w:rPr>
        <w:t>2</w:t>
      </w:r>
      <w:r>
        <w:rPr>
          <w:rFonts w:ascii="Arial" w:hAnsi="Arial" w:cs="Arial"/>
        </w:rPr>
        <w:t xml:space="preserve"> alapterületet.</w:t>
      </w:r>
    </w:p>
    <w:p w:rsidR="00DB07B3" w:rsidRDefault="004B7BE4" w:rsidP="00DB07B3">
      <w:pPr>
        <w:spacing w:line="240" w:lineRule="auto"/>
        <w:jc w:val="both"/>
        <w:rPr>
          <w:rFonts w:ascii="Arial" w:hAnsi="Arial" w:cs="Arial"/>
        </w:rPr>
      </w:pPr>
      <w:r>
        <w:rPr>
          <w:rFonts w:ascii="Arial" w:hAnsi="Arial" w:cs="Arial"/>
        </w:rPr>
        <w:t>4. Helyi egyedi védelemmel érintett ingatlanon épület</w:t>
      </w:r>
    </w:p>
    <w:p w:rsidR="0074122E" w:rsidRPr="00DB07B3" w:rsidRDefault="00DB07B3" w:rsidP="00724FA6">
      <w:pPr>
        <w:spacing w:line="240" w:lineRule="auto"/>
        <w:ind w:left="567"/>
        <w:jc w:val="both"/>
        <w:rPr>
          <w:rFonts w:ascii="Arial" w:hAnsi="Arial" w:cs="Arial"/>
        </w:rPr>
      </w:pPr>
      <w:r>
        <w:rPr>
          <w:rFonts w:ascii="Arial" w:hAnsi="Arial" w:cs="Arial"/>
        </w:rPr>
        <w:t>a)</w:t>
      </w:r>
      <w:r w:rsidR="004B7BE4">
        <w:rPr>
          <w:rFonts w:ascii="Arial" w:hAnsi="Arial" w:cs="Arial"/>
        </w:rPr>
        <w:t xml:space="preserve"> építése, bővítése, melynek mérete az építési tevékenység után sem haladja meg a nettó 100,0 m</w:t>
      </w:r>
      <w:r w:rsidR="004B7BE4" w:rsidRPr="00724FA6">
        <w:rPr>
          <w:rFonts w:ascii="Arial" w:hAnsi="Arial" w:cs="Arial"/>
        </w:rPr>
        <w:t>2</w:t>
      </w:r>
      <w:r w:rsidR="004B7BE4">
        <w:rPr>
          <w:rFonts w:ascii="Arial" w:hAnsi="Arial" w:cs="Arial"/>
        </w:rPr>
        <w:t xml:space="preserve"> alapterületet;</w:t>
      </w:r>
    </w:p>
    <w:p w:rsidR="0074122E" w:rsidRPr="00724FA6" w:rsidRDefault="00DB07B3" w:rsidP="00724FA6">
      <w:pPr>
        <w:spacing w:line="240" w:lineRule="auto"/>
        <w:ind w:left="567"/>
        <w:jc w:val="both"/>
        <w:rPr>
          <w:rFonts w:ascii="Arial" w:hAnsi="Arial" w:cs="Arial"/>
        </w:rPr>
      </w:pPr>
      <w:r>
        <w:rPr>
          <w:rFonts w:ascii="Arial" w:hAnsi="Arial" w:cs="Arial"/>
        </w:rPr>
        <w:t>b)</w:t>
      </w:r>
      <w:r w:rsidR="004B7BE4">
        <w:rPr>
          <w:rFonts w:ascii="Arial" w:hAnsi="Arial" w:cs="Arial"/>
        </w:rPr>
        <w:t xml:space="preserve"> nem védett épület, épületrész bontása részben, vagy egészben.</w:t>
      </w:r>
    </w:p>
    <w:p w:rsidR="0074122E" w:rsidRDefault="004B7BE4">
      <w:pPr>
        <w:spacing w:line="240" w:lineRule="auto"/>
        <w:jc w:val="both"/>
      </w:pPr>
      <w:r>
        <w:rPr>
          <w:rFonts w:ascii="Arial" w:hAnsi="Arial" w:cs="Arial"/>
        </w:rPr>
        <w:t>5. Helyi területi védelemmel érintett ingatlanokon álló és helyi egyedi védelemmel érintett épületeken új, önálló (homlokzati falhoz rögzített vagy szabadon álló) égéstermék-elvezető kémény építése melynek magassága meghaladja a 6,0 m-t.</w:t>
      </w:r>
    </w:p>
    <w:p w:rsidR="0074122E" w:rsidRDefault="00DB07B3">
      <w:pPr>
        <w:spacing w:line="240" w:lineRule="auto"/>
        <w:jc w:val="both"/>
      </w:pPr>
      <w:r>
        <w:rPr>
          <w:rFonts w:ascii="Arial" w:hAnsi="Arial" w:cs="Arial"/>
        </w:rPr>
        <w:t>6</w:t>
      </w:r>
      <w:r w:rsidR="004B7BE4">
        <w:rPr>
          <w:rFonts w:ascii="Arial" w:hAnsi="Arial" w:cs="Arial"/>
        </w:rPr>
        <w:t xml:space="preserve">. Helyi területi védelemmel érintett ingatlanokon és helyi egyedi védelemmel érintett épületeken, közterületen vagy önkormányzati tulajdonban illetve kezelésben lévő területen nem emberi tartózkodásra szolgáló építmény építése, bővítése, melynek mérete az építési tevékenység után meghaladja a nettó </w:t>
      </w:r>
      <w:r w:rsidR="00DF047C">
        <w:rPr>
          <w:rFonts w:ascii="Arial" w:hAnsi="Arial" w:cs="Arial"/>
        </w:rPr>
        <w:t>100</w:t>
      </w:r>
      <w:r w:rsidR="004B7BE4">
        <w:rPr>
          <w:rFonts w:ascii="Arial" w:hAnsi="Arial" w:cs="Arial"/>
        </w:rPr>
        <w:t xml:space="preserve"> m</w:t>
      </w:r>
      <w:r w:rsidR="004B7BE4">
        <w:rPr>
          <w:rFonts w:ascii="Arial" w:hAnsi="Arial" w:cs="Arial"/>
          <w:vertAlign w:val="superscript"/>
        </w:rPr>
        <w:t>3</w:t>
      </w:r>
      <w:r w:rsidR="004B7BE4">
        <w:rPr>
          <w:rFonts w:ascii="Arial" w:hAnsi="Arial" w:cs="Arial"/>
        </w:rPr>
        <w:t xml:space="preserve"> térfogatot és </w:t>
      </w:r>
      <w:r w:rsidR="00DF047C">
        <w:rPr>
          <w:rFonts w:ascii="Arial" w:hAnsi="Arial" w:cs="Arial"/>
        </w:rPr>
        <w:t xml:space="preserve">4,5 </w:t>
      </w:r>
      <w:r w:rsidR="004B7BE4">
        <w:rPr>
          <w:rFonts w:ascii="Arial" w:hAnsi="Arial" w:cs="Arial"/>
        </w:rPr>
        <w:t>m gerincmagasságot.</w:t>
      </w:r>
    </w:p>
    <w:p w:rsidR="0074122E" w:rsidRDefault="00DB07B3">
      <w:pPr>
        <w:spacing w:line="240" w:lineRule="auto"/>
        <w:jc w:val="both"/>
      </w:pPr>
      <w:r>
        <w:rPr>
          <w:rFonts w:ascii="Arial" w:hAnsi="Arial" w:cs="Arial"/>
        </w:rPr>
        <w:t>7</w:t>
      </w:r>
      <w:r w:rsidR="004B7BE4">
        <w:rPr>
          <w:rFonts w:ascii="Arial" w:hAnsi="Arial" w:cs="Arial"/>
        </w:rPr>
        <w:t>. Szobor, emlékmű, kereszt, emlékjel építése, elhelyezése, bontása, ha annak talapzatával együtt mért magassága meghaladja a 6,0 m-t.</w:t>
      </w:r>
    </w:p>
    <w:p w:rsidR="0074122E" w:rsidRDefault="00DB07B3">
      <w:pPr>
        <w:spacing w:line="240" w:lineRule="auto"/>
        <w:jc w:val="both"/>
      </w:pPr>
      <w:r>
        <w:rPr>
          <w:rFonts w:ascii="Arial" w:hAnsi="Arial" w:cs="Arial"/>
        </w:rPr>
        <w:t>8</w:t>
      </w:r>
      <w:r w:rsidR="004B7BE4">
        <w:rPr>
          <w:rFonts w:ascii="Arial" w:hAnsi="Arial" w:cs="Arial"/>
        </w:rPr>
        <w:t>. Emlékfal építése, bontása melynek talapzatával együtt mért magassága meghaladja a 3,0 m-t.</w:t>
      </w:r>
    </w:p>
    <w:p w:rsidR="0074122E" w:rsidRDefault="00DB07B3">
      <w:pPr>
        <w:spacing w:line="240" w:lineRule="auto"/>
        <w:jc w:val="both"/>
      </w:pPr>
      <w:r>
        <w:rPr>
          <w:rFonts w:ascii="Arial" w:hAnsi="Arial" w:cs="Arial"/>
        </w:rPr>
        <w:t>9</w:t>
      </w:r>
      <w:r w:rsidR="004B7BE4">
        <w:rPr>
          <w:rFonts w:ascii="Arial" w:hAnsi="Arial" w:cs="Arial"/>
        </w:rPr>
        <w:t>. Közterületen megfelelőség igazolással vagy teljesítmény-nyilatkozattal és jóváhagyott műszaki specifikációval nem rendelkező építményszerkezetű, vagy tömegtartózkodás céljára nem szolgáló, vagy legfeljebb 180 napig fennálló</w:t>
      </w:r>
    </w:p>
    <w:p w:rsidR="0074122E" w:rsidRDefault="004B7BE4" w:rsidP="00724FA6">
      <w:pPr>
        <w:spacing w:line="240" w:lineRule="auto"/>
        <w:ind w:left="567"/>
        <w:jc w:val="both"/>
        <w:rPr>
          <w:rFonts w:ascii="Arial" w:hAnsi="Arial" w:cs="Arial"/>
        </w:rPr>
      </w:pPr>
      <w:r>
        <w:rPr>
          <w:rFonts w:ascii="Arial" w:hAnsi="Arial" w:cs="Arial"/>
        </w:rPr>
        <w:t>a) rendezvényeket kiszolgáló színpad, színpadi tető, lelátó, mutatványos, szórakoztató, vendéglátó, kereskedelmi, valamint előadás tartására szolgáló építmény;</w:t>
      </w:r>
    </w:p>
    <w:p w:rsidR="0074122E" w:rsidRDefault="004B7BE4" w:rsidP="00724FA6">
      <w:pPr>
        <w:spacing w:line="240" w:lineRule="auto"/>
        <w:ind w:left="567"/>
        <w:jc w:val="both"/>
        <w:rPr>
          <w:rFonts w:ascii="Arial" w:hAnsi="Arial" w:cs="Arial"/>
        </w:rPr>
      </w:pPr>
      <w:r>
        <w:rPr>
          <w:rFonts w:ascii="Arial" w:hAnsi="Arial" w:cs="Arial"/>
        </w:rPr>
        <w:t>b) kiállítási vagy elsősegélyt nyújtó építmény;</w:t>
      </w:r>
    </w:p>
    <w:p w:rsidR="0074122E" w:rsidRDefault="004B7BE4" w:rsidP="00724FA6">
      <w:pPr>
        <w:spacing w:line="240" w:lineRule="auto"/>
        <w:ind w:left="567"/>
        <w:jc w:val="both"/>
        <w:rPr>
          <w:rFonts w:ascii="Arial" w:hAnsi="Arial" w:cs="Arial"/>
        </w:rPr>
      </w:pPr>
      <w:r>
        <w:rPr>
          <w:rFonts w:ascii="Arial" w:hAnsi="Arial" w:cs="Arial"/>
        </w:rPr>
        <w:t>c) levegővel felfújt vagy feszített fedések (sátorszerkezetek);</w:t>
      </w:r>
    </w:p>
    <w:p w:rsidR="00724FA6" w:rsidRDefault="004B7BE4" w:rsidP="00724FA6">
      <w:pPr>
        <w:spacing w:line="240" w:lineRule="auto"/>
        <w:ind w:left="567"/>
        <w:jc w:val="both"/>
        <w:rPr>
          <w:rFonts w:ascii="Arial" w:hAnsi="Arial" w:cs="Arial"/>
        </w:rPr>
      </w:pPr>
      <w:r>
        <w:rPr>
          <w:rFonts w:ascii="Arial" w:hAnsi="Arial" w:cs="Arial"/>
        </w:rPr>
        <w:t xml:space="preserve">d) ideiglenes fedett lovarda </w:t>
      </w:r>
    </w:p>
    <w:p w:rsidR="0074122E" w:rsidRDefault="004B7BE4" w:rsidP="00DB07B3">
      <w:pPr>
        <w:spacing w:line="240" w:lineRule="auto"/>
        <w:jc w:val="both"/>
      </w:pPr>
      <w:r>
        <w:rPr>
          <w:rFonts w:ascii="Arial" w:hAnsi="Arial" w:cs="Arial"/>
        </w:rPr>
        <w:t>építése.</w:t>
      </w:r>
    </w:p>
    <w:p w:rsidR="0074122E" w:rsidRDefault="004B7BE4">
      <w:pPr>
        <w:spacing w:line="240" w:lineRule="auto"/>
        <w:jc w:val="both"/>
      </w:pPr>
      <w:r>
        <w:rPr>
          <w:rFonts w:ascii="Arial" w:hAnsi="Arial" w:cs="Arial"/>
        </w:rPr>
        <w:t>1</w:t>
      </w:r>
      <w:r w:rsidR="00724FA6">
        <w:rPr>
          <w:rFonts w:ascii="Arial" w:hAnsi="Arial" w:cs="Arial"/>
        </w:rPr>
        <w:t>0</w:t>
      </w:r>
      <w:r>
        <w:rPr>
          <w:rFonts w:ascii="Arial" w:hAnsi="Arial" w:cs="Arial"/>
        </w:rPr>
        <w:t xml:space="preserve">. A 6,0 m vagy annál nagyobb magasságú, a 60 m3 vagy annál nagyobb térfogatú siló, ömlesztettanyag-tároló, nem veszélyes folyadékok tárolója, nem veszélyes anyagot tartalmazó, </w:t>
      </w:r>
      <w:r>
        <w:rPr>
          <w:rFonts w:ascii="Arial" w:hAnsi="Arial" w:cs="Arial"/>
        </w:rPr>
        <w:lastRenderedPageBreak/>
        <w:t>nyomástartó edénynek nem minősülő, föld feletti vagy alatti tartály, tároló elhelyezéséhez szükséges építmény építése, meglévő felújítása, helyreállítása, átalakítása, korszerűsítése, bővítése.</w:t>
      </w:r>
    </w:p>
    <w:p w:rsidR="0074122E" w:rsidRDefault="004B7BE4">
      <w:pPr>
        <w:spacing w:line="240" w:lineRule="auto"/>
        <w:jc w:val="both"/>
      </w:pPr>
      <w:r>
        <w:rPr>
          <w:rFonts w:ascii="Arial" w:hAnsi="Arial" w:cs="Arial"/>
        </w:rPr>
        <w:t>1</w:t>
      </w:r>
      <w:r w:rsidR="00724FA6">
        <w:rPr>
          <w:rFonts w:ascii="Arial" w:hAnsi="Arial" w:cs="Arial"/>
        </w:rPr>
        <w:t>1</w:t>
      </w:r>
      <w:r>
        <w:rPr>
          <w:rFonts w:ascii="Arial" w:hAnsi="Arial" w:cs="Arial"/>
        </w:rPr>
        <w:t>. Veszélyes folyadék tárolója, veszélyes anyagot tartalmazó föld feletti vagy alatti tartály, tároló elhelyezéséhez szükséges építmény építése, meglévő felújítása, helyreállítása, átalakítása, korszerűsítése, bővítése mérethatár korlátozás nélkül.</w:t>
      </w:r>
    </w:p>
    <w:p w:rsidR="0074122E" w:rsidRDefault="004B7BE4">
      <w:pPr>
        <w:spacing w:line="240" w:lineRule="auto"/>
        <w:jc w:val="both"/>
      </w:pPr>
      <w:r>
        <w:rPr>
          <w:rFonts w:ascii="Arial" w:hAnsi="Arial" w:cs="Arial"/>
        </w:rPr>
        <w:t>1</w:t>
      </w:r>
      <w:r w:rsidR="00724FA6">
        <w:rPr>
          <w:rFonts w:ascii="Arial" w:hAnsi="Arial" w:cs="Arial"/>
        </w:rPr>
        <w:t>2</w:t>
      </w:r>
      <w:r>
        <w:rPr>
          <w:rFonts w:ascii="Arial" w:hAnsi="Arial" w:cs="Arial"/>
        </w:rPr>
        <w:t>. Közterületen, vagy önkormányzati tulajdonban, illetve kezelésben lévő területen közhasználatú víz</w:t>
      </w:r>
      <w:r w:rsidR="00724FA6">
        <w:rPr>
          <w:rFonts w:ascii="Arial" w:hAnsi="Arial" w:cs="Arial"/>
        </w:rPr>
        <w:t>medence</w:t>
      </w:r>
      <w:r>
        <w:rPr>
          <w:rFonts w:ascii="Arial" w:hAnsi="Arial" w:cs="Arial"/>
        </w:rPr>
        <w:t>, fürdőmedence, tó építése mérethatár korlátozás nélkül.</w:t>
      </w:r>
    </w:p>
    <w:p w:rsidR="0074122E" w:rsidRDefault="004B7BE4">
      <w:pPr>
        <w:spacing w:line="240" w:lineRule="auto"/>
        <w:jc w:val="both"/>
      </w:pPr>
      <w:r>
        <w:rPr>
          <w:rFonts w:ascii="Arial" w:hAnsi="Arial" w:cs="Arial"/>
        </w:rPr>
        <w:t>1</w:t>
      </w:r>
      <w:r w:rsidR="00724FA6">
        <w:rPr>
          <w:rFonts w:ascii="Arial" w:hAnsi="Arial" w:cs="Arial"/>
        </w:rPr>
        <w:t>3</w:t>
      </w:r>
      <w:r>
        <w:rPr>
          <w:rFonts w:ascii="Arial" w:hAnsi="Arial" w:cs="Arial"/>
        </w:rPr>
        <w:t>. Közterületen, vagy önkormányzati tulajdonban, illetve kezelésben lévő területen a telek természetes terepszintjének – építési tevékenységgel összefüggő – 1,0 m-t meghaladó, végleges jellegű megváltoztatása.</w:t>
      </w:r>
    </w:p>
    <w:p w:rsidR="0074122E" w:rsidRDefault="004B7BE4">
      <w:pPr>
        <w:spacing w:line="240" w:lineRule="auto"/>
        <w:jc w:val="both"/>
      </w:pPr>
      <w:r>
        <w:rPr>
          <w:rFonts w:ascii="Arial" w:hAnsi="Arial" w:cs="Arial"/>
        </w:rPr>
        <w:t>1</w:t>
      </w:r>
      <w:r w:rsidR="00724FA6">
        <w:rPr>
          <w:rFonts w:ascii="Arial" w:hAnsi="Arial" w:cs="Arial"/>
        </w:rPr>
        <w:t>4</w:t>
      </w:r>
      <w:r>
        <w:rPr>
          <w:rFonts w:ascii="Arial" w:hAnsi="Arial" w:cs="Arial"/>
        </w:rPr>
        <w:t>. Közterületen, vagy önkormányzati tulajdonban, illetve kezelésben lévő területen támfal építése, bővítése, meglévő felújítása, helyreállítása, átalakítása, korszerűsítése, megváltoztatása, melynek mérete az építési tevékenységgel meghaladja a rendezett alsó terepszinttől számított 1,0 m magasságot.</w:t>
      </w:r>
    </w:p>
    <w:p w:rsidR="0074122E" w:rsidRDefault="004B7BE4">
      <w:pPr>
        <w:spacing w:line="240" w:lineRule="auto"/>
        <w:jc w:val="both"/>
      </w:pPr>
      <w:r>
        <w:rPr>
          <w:rFonts w:ascii="Arial" w:hAnsi="Arial" w:cs="Arial"/>
        </w:rPr>
        <w:t>1</w:t>
      </w:r>
      <w:r w:rsidR="00724FA6">
        <w:rPr>
          <w:rFonts w:ascii="Arial" w:hAnsi="Arial" w:cs="Arial"/>
        </w:rPr>
        <w:t>5</w:t>
      </w:r>
      <w:r>
        <w:rPr>
          <w:rFonts w:ascii="Arial" w:hAnsi="Arial" w:cs="Arial"/>
        </w:rPr>
        <w:t>. Közterületen vagy helyi területi védelemmel érintett ingatlanokon és helyi védelemmel érintett épületeken zászlótartó oszlop (zászlórúd) építése, bontása melynek terepszinttől mért magassága meghaladja a 6,0 métert.</w:t>
      </w:r>
    </w:p>
    <w:p w:rsidR="0074122E" w:rsidRDefault="004B7BE4">
      <w:pPr>
        <w:spacing w:line="240" w:lineRule="auto"/>
        <w:jc w:val="both"/>
      </w:pPr>
      <w:r>
        <w:rPr>
          <w:rFonts w:ascii="Arial" w:hAnsi="Arial" w:cs="Arial"/>
        </w:rPr>
        <w:t>1</w:t>
      </w:r>
      <w:r w:rsidR="00724FA6">
        <w:rPr>
          <w:rFonts w:ascii="Arial" w:hAnsi="Arial" w:cs="Arial"/>
        </w:rPr>
        <w:t>6</w:t>
      </w:r>
      <w:r>
        <w:rPr>
          <w:rFonts w:ascii="Arial" w:hAnsi="Arial" w:cs="Arial"/>
        </w:rPr>
        <w:t xml:space="preserve">. Helyi területi védelemmel érintett ingatlanokon és helyi egyedi védelemmel érintett </w:t>
      </w:r>
      <w:r w:rsidR="00724FA6">
        <w:rPr>
          <w:rFonts w:ascii="Arial" w:hAnsi="Arial" w:cs="Arial"/>
        </w:rPr>
        <w:t xml:space="preserve">ingatlanokon </w:t>
      </w:r>
      <w:r>
        <w:rPr>
          <w:rFonts w:ascii="Arial" w:hAnsi="Arial" w:cs="Arial"/>
        </w:rPr>
        <w:t>az építési tevékenységhez szükséges, annak befejezését követően elbontandó bruttó 50 m3 térfogatot meghaladó felvonulási építmény építése.</w:t>
      </w:r>
    </w:p>
    <w:p w:rsidR="0074122E" w:rsidRDefault="00724FA6">
      <w:pPr>
        <w:spacing w:line="240" w:lineRule="auto"/>
        <w:jc w:val="both"/>
      </w:pPr>
      <w:r>
        <w:rPr>
          <w:rFonts w:ascii="Arial" w:hAnsi="Arial" w:cs="Arial"/>
        </w:rPr>
        <w:t>17</w:t>
      </w:r>
      <w:r w:rsidR="004B7BE4">
        <w:rPr>
          <w:rFonts w:ascii="Arial" w:hAnsi="Arial" w:cs="Arial"/>
        </w:rPr>
        <w:t>. Helyi területi védelemmel érintett ingatlanokon és a helyi egyedi védelemmel érintett épületeken, ingatlanokon elektronikus hírközlési építmény:</w:t>
      </w:r>
    </w:p>
    <w:p w:rsidR="0074122E" w:rsidRDefault="004B7BE4" w:rsidP="00724FA6">
      <w:pPr>
        <w:spacing w:line="240" w:lineRule="auto"/>
        <w:ind w:left="567"/>
        <w:jc w:val="both"/>
        <w:rPr>
          <w:rFonts w:ascii="Arial" w:hAnsi="Arial" w:cs="Arial"/>
        </w:rPr>
      </w:pPr>
      <w:r>
        <w:rPr>
          <w:rFonts w:ascii="Arial" w:hAnsi="Arial" w:cs="Arial"/>
        </w:rPr>
        <w:t xml:space="preserve">a) műtárgynak minősülő </w:t>
      </w:r>
      <w:r w:rsidR="00724FA6">
        <w:rPr>
          <w:rFonts w:ascii="Arial" w:hAnsi="Arial" w:cs="Arial"/>
        </w:rPr>
        <w:t xml:space="preserve">önálló </w:t>
      </w:r>
      <w:r>
        <w:rPr>
          <w:rFonts w:ascii="Arial" w:hAnsi="Arial" w:cs="Arial"/>
        </w:rPr>
        <w:t>antennatartó szerkezet létesítése, ha annak bármely irányú mérete meghaladja a bruttó 6,0 m-t, vagy</w:t>
      </w:r>
    </w:p>
    <w:p w:rsidR="0074122E" w:rsidRPr="00724FA6" w:rsidRDefault="004B7BE4" w:rsidP="00724FA6">
      <w:pPr>
        <w:spacing w:line="240" w:lineRule="auto"/>
        <w:ind w:left="567"/>
        <w:jc w:val="both"/>
        <w:rPr>
          <w:rFonts w:ascii="Arial" w:hAnsi="Arial" w:cs="Arial"/>
        </w:rPr>
      </w:pPr>
      <w:r>
        <w:rPr>
          <w:rFonts w:ascii="Arial" w:hAnsi="Arial" w:cs="Arial"/>
        </w:rPr>
        <w:t>b) az antennatartó szerkezet méretétől függetlenül a szerkezetre antenna felszerelése, ha az antenna bármely irányú mérete meghaladja a 4,0 m-t.</w:t>
      </w:r>
    </w:p>
    <w:p w:rsidR="0074122E" w:rsidRDefault="0074122E">
      <w:pPr>
        <w:spacing w:line="240" w:lineRule="auto"/>
        <w:ind w:left="708"/>
        <w:jc w:val="both"/>
        <w:rPr>
          <w:rFonts w:ascii="Arial" w:hAnsi="Arial" w:cs="Arial"/>
          <w:b/>
        </w:rPr>
      </w:pPr>
    </w:p>
    <w:p w:rsidR="00724FA6" w:rsidRPr="00724FA6" w:rsidRDefault="004B7BE4" w:rsidP="00724FA6">
      <w:pPr>
        <w:spacing w:line="240" w:lineRule="auto"/>
        <w:jc w:val="both"/>
        <w:rPr>
          <w:rFonts w:ascii="Arial" w:hAnsi="Arial" w:cs="Arial"/>
          <w:b/>
        </w:rPr>
      </w:pPr>
      <w:r w:rsidRPr="00724FA6">
        <w:rPr>
          <w:rFonts w:ascii="Arial" w:hAnsi="Arial" w:cs="Arial"/>
          <w:b/>
        </w:rPr>
        <w:t>2</w:t>
      </w:r>
      <w:r w:rsidR="00724FA6" w:rsidRPr="00724FA6">
        <w:rPr>
          <w:rFonts w:ascii="Arial" w:hAnsi="Arial" w:cs="Arial"/>
          <w:b/>
        </w:rPr>
        <w:t>. A jegyző a településképi véleményét a városi tervtanács szakmai véleményére alapozza az alábbi építési engedéllyel végezhető építési tevékenységek esetében.</w:t>
      </w:r>
    </w:p>
    <w:p w:rsidR="0074122E" w:rsidRDefault="004B7BE4">
      <w:pPr>
        <w:spacing w:line="240" w:lineRule="auto"/>
        <w:jc w:val="both"/>
      </w:pPr>
      <w:r>
        <w:rPr>
          <w:rFonts w:ascii="Arial" w:hAnsi="Arial" w:cs="Arial"/>
        </w:rPr>
        <w:t>A polgármester településképi véleményét a helyi építészeti és műszaki tervtanács szakmai véleményére alapozza az alábbi építési engedéllyel végezhető építési tevékenységek esetében:</w:t>
      </w:r>
    </w:p>
    <w:p w:rsidR="0074122E" w:rsidRDefault="004B7BE4">
      <w:pPr>
        <w:spacing w:line="240" w:lineRule="auto"/>
        <w:jc w:val="both"/>
      </w:pPr>
      <w:r>
        <w:rPr>
          <w:rFonts w:ascii="Arial" w:hAnsi="Arial" w:cs="Arial"/>
        </w:rPr>
        <w:t>1. Bármely területen megvalósuló</w:t>
      </w:r>
    </w:p>
    <w:p w:rsidR="0074122E" w:rsidRDefault="004B7BE4">
      <w:pPr>
        <w:spacing w:line="240" w:lineRule="auto"/>
        <w:ind w:left="567"/>
        <w:jc w:val="both"/>
      </w:pPr>
      <w:r>
        <w:rPr>
          <w:rFonts w:ascii="Arial" w:hAnsi="Arial" w:cs="Arial"/>
        </w:rPr>
        <w:t>a) 2000 m</w:t>
      </w:r>
      <w:r>
        <w:rPr>
          <w:rFonts w:ascii="Arial" w:hAnsi="Arial" w:cs="Arial"/>
          <w:vertAlign w:val="superscript"/>
        </w:rPr>
        <w:t>2</w:t>
      </w:r>
      <w:r>
        <w:rPr>
          <w:rFonts w:ascii="Arial" w:hAnsi="Arial" w:cs="Arial"/>
        </w:rPr>
        <w:t xml:space="preserve"> összes bruttó szintterület meghaladó kereskedelmi, ipari, logisztikai rendeltetésű; </w:t>
      </w:r>
    </w:p>
    <w:p w:rsidR="0074122E" w:rsidRDefault="004B7BE4">
      <w:pPr>
        <w:spacing w:line="240" w:lineRule="auto"/>
        <w:ind w:left="567"/>
        <w:jc w:val="both"/>
      </w:pPr>
      <w:r>
        <w:rPr>
          <w:rFonts w:ascii="Arial" w:hAnsi="Arial" w:cs="Arial"/>
        </w:rPr>
        <w:t>b) 1000 m</w:t>
      </w:r>
      <w:r>
        <w:rPr>
          <w:rFonts w:ascii="Arial" w:hAnsi="Arial" w:cs="Arial"/>
          <w:vertAlign w:val="superscript"/>
        </w:rPr>
        <w:t>2</w:t>
      </w:r>
      <w:r>
        <w:rPr>
          <w:rFonts w:ascii="Arial" w:hAnsi="Arial" w:cs="Arial"/>
        </w:rPr>
        <w:t xml:space="preserve"> összes bruttó szintterület meghaladó egyéb rendeltetésű; </w:t>
      </w:r>
    </w:p>
    <w:p w:rsidR="0074122E" w:rsidRDefault="004B7BE4">
      <w:pPr>
        <w:spacing w:line="240" w:lineRule="auto"/>
        <w:ind w:left="567"/>
        <w:jc w:val="both"/>
      </w:pPr>
      <w:r>
        <w:rPr>
          <w:rFonts w:ascii="Arial" w:hAnsi="Arial" w:cs="Arial"/>
        </w:rPr>
        <w:t>c) ötnél több önálló rendeltetési egységet tartalmazó új épület építése.</w:t>
      </w:r>
    </w:p>
    <w:p w:rsidR="0074122E" w:rsidRDefault="004B7BE4">
      <w:pPr>
        <w:spacing w:line="240" w:lineRule="auto"/>
        <w:jc w:val="both"/>
      </w:pPr>
      <w:r>
        <w:rPr>
          <w:rFonts w:ascii="Arial" w:hAnsi="Arial" w:cs="Arial"/>
        </w:rPr>
        <w:t>2. Közterületen, vagy önkormányzati tulajdonban, illetve kezelésben lévő területen</w:t>
      </w:r>
      <w:r w:rsidR="00D42165">
        <w:rPr>
          <w:rFonts w:ascii="Arial" w:hAnsi="Arial" w:cs="Arial"/>
        </w:rPr>
        <w:t xml:space="preserve">, </w:t>
      </w:r>
      <w:r w:rsidR="00D42165" w:rsidRPr="00390ECF">
        <w:rPr>
          <w:rFonts w:ascii="Arial" w:hAnsi="Arial" w:cs="Arial"/>
        </w:rPr>
        <w:t xml:space="preserve">valamint minden </w:t>
      </w:r>
      <w:r w:rsidR="00846194" w:rsidRPr="00390ECF">
        <w:rPr>
          <w:rFonts w:ascii="Arial" w:hAnsi="Arial" w:cs="Arial"/>
        </w:rPr>
        <w:t>közhasználatú</w:t>
      </w:r>
      <w:r w:rsidRPr="00390ECF">
        <w:rPr>
          <w:rFonts w:ascii="Arial" w:hAnsi="Arial" w:cs="Arial"/>
        </w:rPr>
        <w:t xml:space="preserve"> épület</w:t>
      </w:r>
      <w:r>
        <w:rPr>
          <w:rFonts w:ascii="Arial" w:hAnsi="Arial" w:cs="Arial"/>
        </w:rPr>
        <w:t xml:space="preserve"> építése, bővítése, melynek mérete az építési tevékenység után meghaladja a nettó 100,0 m</w:t>
      </w:r>
      <w:r>
        <w:rPr>
          <w:rFonts w:ascii="Arial" w:hAnsi="Arial" w:cs="Arial"/>
          <w:vertAlign w:val="superscript"/>
        </w:rPr>
        <w:t>2</w:t>
      </w:r>
      <w:r>
        <w:rPr>
          <w:rFonts w:ascii="Arial" w:hAnsi="Arial" w:cs="Arial"/>
        </w:rPr>
        <w:t xml:space="preserve"> alapterületet.</w:t>
      </w:r>
    </w:p>
    <w:p w:rsidR="0074122E" w:rsidRDefault="004B7BE4">
      <w:pPr>
        <w:spacing w:line="240" w:lineRule="auto"/>
        <w:jc w:val="both"/>
      </w:pPr>
      <w:r>
        <w:rPr>
          <w:rFonts w:ascii="Arial" w:hAnsi="Arial" w:cs="Arial"/>
        </w:rPr>
        <w:t>3. Helyi területi védelem alá helyezett területen lévő ingatlanon épület építése, bővítése, melynek mérete az építési tevékenység után meghaladja a nettó 100,0 m</w:t>
      </w:r>
      <w:r>
        <w:rPr>
          <w:rFonts w:ascii="Arial" w:hAnsi="Arial" w:cs="Arial"/>
          <w:vertAlign w:val="superscript"/>
        </w:rPr>
        <w:t>2</w:t>
      </w:r>
      <w:r>
        <w:rPr>
          <w:rFonts w:ascii="Arial" w:hAnsi="Arial" w:cs="Arial"/>
        </w:rPr>
        <w:t xml:space="preserve"> alapterületet.</w:t>
      </w:r>
    </w:p>
    <w:p w:rsidR="0074122E" w:rsidRDefault="004B7BE4">
      <w:pPr>
        <w:spacing w:line="240" w:lineRule="auto"/>
        <w:jc w:val="both"/>
      </w:pPr>
      <w:r>
        <w:rPr>
          <w:rFonts w:ascii="Arial" w:hAnsi="Arial" w:cs="Arial"/>
        </w:rPr>
        <w:t>4. Helyi területi védelem alá helyezett területen lévő ingatlanokon és a helyi egyedi védelem alá helyezett épület</w:t>
      </w:r>
    </w:p>
    <w:p w:rsidR="0074122E" w:rsidRDefault="004B7BE4">
      <w:pPr>
        <w:spacing w:line="240" w:lineRule="auto"/>
        <w:ind w:left="567"/>
        <w:jc w:val="both"/>
      </w:pPr>
      <w:r>
        <w:rPr>
          <w:rFonts w:ascii="Arial" w:hAnsi="Arial" w:cs="Arial"/>
        </w:rPr>
        <w:t xml:space="preserve">a) </w:t>
      </w:r>
      <w:r w:rsidR="00846194">
        <w:rPr>
          <w:rFonts w:ascii="Arial" w:hAnsi="Arial" w:cs="Arial"/>
        </w:rPr>
        <w:t xml:space="preserve">építési engedélyköteles </w:t>
      </w:r>
      <w:r>
        <w:rPr>
          <w:rFonts w:ascii="Arial" w:hAnsi="Arial" w:cs="Arial"/>
        </w:rPr>
        <w:t>bővítése, amennyiben az építési tevékenység a közterületre néző homlokzati megjelenést befolyásolja;</w:t>
      </w:r>
    </w:p>
    <w:p w:rsidR="0074122E" w:rsidRDefault="004B7BE4">
      <w:pPr>
        <w:spacing w:line="240" w:lineRule="auto"/>
        <w:ind w:left="567"/>
        <w:jc w:val="both"/>
      </w:pPr>
      <w:r>
        <w:rPr>
          <w:rFonts w:ascii="Arial" w:hAnsi="Arial" w:cs="Arial"/>
        </w:rPr>
        <w:lastRenderedPageBreak/>
        <w:t xml:space="preserve">b) </w:t>
      </w:r>
      <w:r w:rsidR="00846194">
        <w:rPr>
          <w:rFonts w:ascii="Arial" w:hAnsi="Arial" w:cs="Arial"/>
        </w:rPr>
        <w:t xml:space="preserve">építési engedélyköteles </w:t>
      </w:r>
      <w:r>
        <w:rPr>
          <w:rFonts w:ascii="Arial" w:hAnsi="Arial" w:cs="Arial"/>
        </w:rPr>
        <w:t>építése, bővítése, melynek mérete az építési tevékenység után meghaladja a nettó 100,0 m</w:t>
      </w:r>
      <w:r>
        <w:rPr>
          <w:rFonts w:ascii="Arial" w:hAnsi="Arial" w:cs="Arial"/>
          <w:vertAlign w:val="superscript"/>
        </w:rPr>
        <w:t>2</w:t>
      </w:r>
      <w:r>
        <w:rPr>
          <w:rFonts w:ascii="Arial" w:hAnsi="Arial" w:cs="Arial"/>
        </w:rPr>
        <w:t xml:space="preserve"> alapterületet.</w:t>
      </w:r>
      <w:r w:rsidR="00B02A2D">
        <w:rPr>
          <w:rFonts w:ascii="Arial" w:hAnsi="Arial" w:cs="Arial"/>
        </w:rPr>
        <w:t xml:space="preserve"> </w:t>
      </w:r>
    </w:p>
    <w:p w:rsidR="0074122E" w:rsidRDefault="004B7BE4">
      <w:pPr>
        <w:spacing w:line="240" w:lineRule="auto"/>
        <w:jc w:val="both"/>
      </w:pPr>
      <w:r>
        <w:rPr>
          <w:rFonts w:ascii="Arial" w:hAnsi="Arial" w:cs="Arial"/>
        </w:rPr>
        <w:t>5. Tömbtelken vagy úszótelken épület építése, bővítése.</w:t>
      </w:r>
    </w:p>
    <w:p w:rsidR="0074122E" w:rsidRDefault="004B7BE4">
      <w:pPr>
        <w:spacing w:line="240" w:lineRule="auto"/>
        <w:jc w:val="both"/>
      </w:pPr>
      <w:r>
        <w:rPr>
          <w:rFonts w:ascii="Arial" w:hAnsi="Arial" w:cs="Arial"/>
        </w:rPr>
        <w:t>6. Minden olyan építési engedéllyel végezhető építési tevékenység, melyet a főépítész vagy a polgármester a településképi véleményének kialakításához a tervtanács elé utal.</w:t>
      </w:r>
    </w:p>
    <w:p w:rsidR="0074122E" w:rsidRDefault="0074122E" w:rsidP="00605539">
      <w:pPr>
        <w:spacing w:line="240" w:lineRule="auto"/>
        <w:jc w:val="both"/>
        <w:rPr>
          <w:rFonts w:ascii="Arial" w:hAnsi="Arial"/>
          <w:sz w:val="21"/>
          <w:szCs w:val="21"/>
        </w:rPr>
      </w:pPr>
    </w:p>
    <w:sectPr w:rsidR="0074122E" w:rsidSect="0074122E">
      <w:headerReference w:type="default" r:id="rId8"/>
      <w:pgSz w:w="11906" w:h="16838"/>
      <w:pgMar w:top="1020" w:right="793" w:bottom="1020" w:left="1200"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BF" w:rsidRDefault="001770BF" w:rsidP="00390ECF">
      <w:pPr>
        <w:spacing w:after="0" w:line="240" w:lineRule="auto"/>
      </w:pPr>
      <w:r>
        <w:separator/>
      </w:r>
    </w:p>
  </w:endnote>
  <w:endnote w:type="continuationSeparator" w:id="0">
    <w:p w:rsidR="001770BF" w:rsidRDefault="001770BF" w:rsidP="0039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BF" w:rsidRDefault="001770BF" w:rsidP="00390ECF">
      <w:pPr>
        <w:spacing w:after="0" w:line="240" w:lineRule="auto"/>
      </w:pPr>
      <w:r>
        <w:separator/>
      </w:r>
    </w:p>
  </w:footnote>
  <w:footnote w:type="continuationSeparator" w:id="0">
    <w:p w:rsidR="001770BF" w:rsidRDefault="001770BF" w:rsidP="00390ECF">
      <w:pPr>
        <w:spacing w:after="0" w:line="240" w:lineRule="auto"/>
      </w:pPr>
      <w:r>
        <w:continuationSeparator/>
      </w:r>
    </w:p>
  </w:footnote>
  <w:footnote w:id="1">
    <w:p w:rsidR="005B7350" w:rsidRDefault="005B7350">
      <w:pPr>
        <w:pStyle w:val="Lbjegyzetszveg"/>
      </w:pPr>
      <w:r>
        <w:rPr>
          <w:rStyle w:val="Lbjegyzet-hivatkozs"/>
        </w:rPr>
        <w:t>95</w:t>
      </w:r>
      <w:r>
        <w:t xml:space="preserve"> Módosította a 32/2021. (X.27.) önkormányzati rendelet 18.§ (4) bekezdése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BF" w:rsidRDefault="001770BF" w:rsidP="001770BF">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DEA"/>
    <w:multiLevelType w:val="multilevel"/>
    <w:tmpl w:val="8CA4F3F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22123FB8"/>
    <w:multiLevelType w:val="multilevel"/>
    <w:tmpl w:val="5DE80960"/>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295579"/>
    <w:multiLevelType w:val="multilevel"/>
    <w:tmpl w:val="78864054"/>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3">
    <w:nsid w:val="2E926167"/>
    <w:multiLevelType w:val="multilevel"/>
    <w:tmpl w:val="CA6C28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3E4A621C"/>
    <w:multiLevelType w:val="multilevel"/>
    <w:tmpl w:val="4D843E9E"/>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914B32"/>
    <w:multiLevelType w:val="multilevel"/>
    <w:tmpl w:val="EEB8C3BA"/>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5A0F6F"/>
    <w:multiLevelType w:val="multilevel"/>
    <w:tmpl w:val="3A2AABDA"/>
    <w:lvl w:ilvl="0">
      <w:start w:val="1"/>
      <w:numFmt w:val="lowerLetter"/>
      <w:lvlText w:val="%1)"/>
      <w:lvlJc w:val="left"/>
      <w:pPr>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122E"/>
    <w:rsid w:val="00041941"/>
    <w:rsid w:val="00137E08"/>
    <w:rsid w:val="001770BF"/>
    <w:rsid w:val="002B2F54"/>
    <w:rsid w:val="003858F1"/>
    <w:rsid w:val="003906FD"/>
    <w:rsid w:val="00390ECF"/>
    <w:rsid w:val="004B7BE4"/>
    <w:rsid w:val="00512F2B"/>
    <w:rsid w:val="00591B66"/>
    <w:rsid w:val="005B7350"/>
    <w:rsid w:val="00605539"/>
    <w:rsid w:val="00607EA4"/>
    <w:rsid w:val="00724FA6"/>
    <w:rsid w:val="0074122E"/>
    <w:rsid w:val="00846194"/>
    <w:rsid w:val="00A37608"/>
    <w:rsid w:val="00AD3815"/>
    <w:rsid w:val="00AD4019"/>
    <w:rsid w:val="00B02A2D"/>
    <w:rsid w:val="00B25622"/>
    <w:rsid w:val="00B44178"/>
    <w:rsid w:val="00BC5241"/>
    <w:rsid w:val="00BE6F97"/>
    <w:rsid w:val="00C30303"/>
    <w:rsid w:val="00D42165"/>
    <w:rsid w:val="00D5640D"/>
    <w:rsid w:val="00D94C13"/>
    <w:rsid w:val="00DB07B3"/>
    <w:rsid w:val="00DF047C"/>
    <w:rsid w:val="00E23D33"/>
    <w:rsid w:val="00F1740B"/>
    <w:rsid w:val="00F50C5B"/>
    <w:rsid w:val="00F82CBF"/>
    <w:rsid w:val="00FB757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3A6"/>
    <w:pPr>
      <w:suppressAutoHyphens/>
      <w:spacing w:after="160" w:line="259" w:lineRule="auto"/>
    </w:pPr>
    <w:rPr>
      <w:color w:val="00000A"/>
      <w:sz w:val="22"/>
      <w:szCs w:val="22"/>
      <w:lang w:eastAsia="en-US"/>
    </w:rPr>
  </w:style>
  <w:style w:type="paragraph" w:styleId="Cmsor1">
    <w:name w:val="heading 1"/>
    <w:basedOn w:val="Cmsor"/>
    <w:rsid w:val="0074122E"/>
    <w:pPr>
      <w:outlineLvl w:val="0"/>
    </w:pPr>
  </w:style>
  <w:style w:type="paragraph" w:styleId="Cmsor2">
    <w:name w:val="heading 2"/>
    <w:basedOn w:val="Cmsor"/>
    <w:rsid w:val="0074122E"/>
    <w:pPr>
      <w:outlineLvl w:val="1"/>
    </w:pPr>
  </w:style>
  <w:style w:type="paragraph" w:styleId="Cmsor3">
    <w:name w:val="heading 3"/>
    <w:basedOn w:val="Cmsor"/>
    <w:rsid w:val="0074122E"/>
    <w:p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borkszvegChar">
    <w:name w:val="Buborékszöveg Char"/>
    <w:basedOn w:val="Bekezdsalapbettpusa"/>
    <w:link w:val="Buborkszveg"/>
    <w:uiPriority w:val="99"/>
    <w:semiHidden/>
    <w:qFormat/>
    <w:rsid w:val="009668F5"/>
    <w:rPr>
      <w:rFonts w:ascii="Segoe UI" w:hAnsi="Segoe UI" w:cs="Segoe UI"/>
      <w:sz w:val="18"/>
      <w:szCs w:val="18"/>
    </w:rPr>
  </w:style>
  <w:style w:type="character" w:customStyle="1" w:styleId="ListLabel1">
    <w:name w:val="ListLabel 1"/>
    <w:qFormat/>
    <w:rsid w:val="0074122E"/>
    <w:rPr>
      <w:rFonts w:ascii="Arial" w:hAnsi="Arial" w:cs="Calibri"/>
      <w:sz w:val="22"/>
    </w:rPr>
  </w:style>
  <w:style w:type="character" w:customStyle="1" w:styleId="ListLabel2">
    <w:name w:val="ListLabel 2"/>
    <w:qFormat/>
    <w:rsid w:val="0074122E"/>
    <w:rPr>
      <w:rFonts w:cs="Calibri"/>
      <w:sz w:val="22"/>
      <w:szCs w:val="22"/>
    </w:rPr>
  </w:style>
  <w:style w:type="character" w:customStyle="1" w:styleId="ListLabel3">
    <w:name w:val="ListLabel 3"/>
    <w:qFormat/>
    <w:rsid w:val="0074122E"/>
    <w:rPr>
      <w:rFonts w:cs="OpenSymbol"/>
      <w:color w:val="000000"/>
      <w:sz w:val="22"/>
      <w:szCs w:val="22"/>
    </w:rPr>
  </w:style>
  <w:style w:type="character" w:customStyle="1" w:styleId="ListLabel4">
    <w:name w:val="ListLabel 4"/>
    <w:qFormat/>
    <w:rsid w:val="0074122E"/>
    <w:rPr>
      <w:rFonts w:cs="Calibri"/>
      <w:b w:val="0"/>
      <w:sz w:val="22"/>
      <w:szCs w:val="22"/>
    </w:rPr>
  </w:style>
  <w:style w:type="character" w:customStyle="1" w:styleId="ListLabel5">
    <w:name w:val="ListLabel 5"/>
    <w:qFormat/>
    <w:rsid w:val="0074122E"/>
    <w:rPr>
      <w:rFonts w:eastAsia="Times New Roman" w:cs="Calibri"/>
      <w:b w:val="0"/>
      <w:i w:val="0"/>
      <w:sz w:val="22"/>
    </w:rPr>
  </w:style>
  <w:style w:type="character" w:customStyle="1" w:styleId="ListLabel6">
    <w:name w:val="ListLabel 6"/>
    <w:qFormat/>
    <w:rsid w:val="0074122E"/>
    <w:rPr>
      <w:rFonts w:eastAsia="Times New Roman" w:cs="Calibri"/>
      <w:b w:val="0"/>
      <w:i w:val="0"/>
      <w:iCs w:val="0"/>
    </w:rPr>
  </w:style>
  <w:style w:type="character" w:customStyle="1" w:styleId="ListLabel7">
    <w:name w:val="ListLabel 7"/>
    <w:qFormat/>
    <w:rsid w:val="0074122E"/>
    <w:rPr>
      <w:rFonts w:cs="Calibri"/>
      <w:b w:val="0"/>
      <w:bCs w:val="0"/>
    </w:rPr>
  </w:style>
  <w:style w:type="character" w:customStyle="1" w:styleId="ListLabel8">
    <w:name w:val="ListLabel 8"/>
    <w:qFormat/>
    <w:rsid w:val="0074122E"/>
    <w:rPr>
      <w:rFonts w:ascii="Arial" w:hAnsi="Arial" w:cs="Calibri"/>
    </w:rPr>
  </w:style>
  <w:style w:type="character" w:customStyle="1" w:styleId="ListLabel9">
    <w:name w:val="ListLabel 9"/>
    <w:qFormat/>
    <w:rsid w:val="0074122E"/>
    <w:rPr>
      <w:rFonts w:cs="Calibri"/>
    </w:rPr>
  </w:style>
  <w:style w:type="character" w:customStyle="1" w:styleId="ListLabel10">
    <w:name w:val="ListLabel 10"/>
    <w:qFormat/>
    <w:rsid w:val="0074122E"/>
    <w:rPr>
      <w:rFonts w:cs="Calibri"/>
    </w:rPr>
  </w:style>
  <w:style w:type="character" w:customStyle="1" w:styleId="ListLabel11">
    <w:name w:val="ListLabel 11"/>
    <w:qFormat/>
    <w:rsid w:val="0074122E"/>
    <w:rPr>
      <w:rFonts w:cs="Calibri"/>
    </w:rPr>
  </w:style>
  <w:style w:type="character" w:customStyle="1" w:styleId="ListLabel12">
    <w:name w:val="ListLabel 12"/>
    <w:qFormat/>
    <w:rsid w:val="0074122E"/>
    <w:rPr>
      <w:rFonts w:cs="Calibri"/>
    </w:rPr>
  </w:style>
  <w:style w:type="character" w:customStyle="1" w:styleId="ListLabel13">
    <w:name w:val="ListLabel 13"/>
    <w:qFormat/>
    <w:rsid w:val="0074122E"/>
    <w:rPr>
      <w:rFonts w:cs="Calibri"/>
    </w:rPr>
  </w:style>
  <w:style w:type="character" w:customStyle="1" w:styleId="ListLabel14">
    <w:name w:val="ListLabel 14"/>
    <w:qFormat/>
    <w:rsid w:val="0074122E"/>
    <w:rPr>
      <w:rFonts w:cs="Calibri"/>
    </w:rPr>
  </w:style>
  <w:style w:type="character" w:customStyle="1" w:styleId="ListLabel15">
    <w:name w:val="ListLabel 15"/>
    <w:qFormat/>
    <w:rsid w:val="0074122E"/>
    <w:rPr>
      <w:rFonts w:cs="Calibri"/>
    </w:rPr>
  </w:style>
  <w:style w:type="character" w:customStyle="1" w:styleId="ListLabel16">
    <w:name w:val="ListLabel 16"/>
    <w:qFormat/>
    <w:rsid w:val="0074122E"/>
    <w:rPr>
      <w:rFonts w:cs="Calibri"/>
    </w:rPr>
  </w:style>
  <w:style w:type="character" w:customStyle="1" w:styleId="ListLabel17">
    <w:name w:val="ListLabel 17"/>
    <w:qFormat/>
    <w:rsid w:val="0074122E"/>
    <w:rPr>
      <w:rFonts w:ascii="Arial" w:hAnsi="Arial"/>
      <w:b w:val="0"/>
      <w:i w:val="0"/>
      <w:sz w:val="22"/>
    </w:rPr>
  </w:style>
  <w:style w:type="character" w:customStyle="1" w:styleId="ListLabel18">
    <w:name w:val="ListLabel 18"/>
    <w:qFormat/>
    <w:rsid w:val="0074122E"/>
    <w:rPr>
      <w:rFonts w:ascii="Arial" w:hAnsi="Arial"/>
      <w:b w:val="0"/>
      <w:i w:val="0"/>
      <w:sz w:val="22"/>
    </w:rPr>
  </w:style>
  <w:style w:type="character" w:customStyle="1" w:styleId="ListLabel19">
    <w:name w:val="ListLabel 19"/>
    <w:qFormat/>
    <w:rsid w:val="0074122E"/>
    <w:rPr>
      <w:rFonts w:ascii="Arial" w:hAnsi="Arial"/>
      <w:b w:val="0"/>
      <w:i w:val="0"/>
      <w:sz w:val="22"/>
    </w:rPr>
  </w:style>
  <w:style w:type="character" w:customStyle="1" w:styleId="ListLabel20">
    <w:name w:val="ListLabel 20"/>
    <w:qFormat/>
    <w:rsid w:val="0074122E"/>
    <w:rPr>
      <w:rFonts w:ascii="Arial" w:hAnsi="Arial" w:cs="Calibri"/>
      <w:sz w:val="22"/>
    </w:rPr>
  </w:style>
  <w:style w:type="character" w:customStyle="1" w:styleId="ListLabel21">
    <w:name w:val="ListLabel 21"/>
    <w:qFormat/>
    <w:rsid w:val="0074122E"/>
    <w:rPr>
      <w:rFonts w:ascii="Arial" w:hAnsi="Arial" w:cs="Calibri"/>
    </w:rPr>
  </w:style>
  <w:style w:type="character" w:customStyle="1" w:styleId="ListLabel22">
    <w:name w:val="ListLabel 22"/>
    <w:qFormat/>
    <w:rsid w:val="0074122E"/>
    <w:rPr>
      <w:rFonts w:ascii="Arial" w:hAnsi="Arial"/>
      <w:b w:val="0"/>
      <w:i w:val="0"/>
      <w:sz w:val="22"/>
    </w:rPr>
  </w:style>
  <w:style w:type="character" w:customStyle="1" w:styleId="Felsorolsjel">
    <w:name w:val="Felsorolásjel"/>
    <w:qFormat/>
    <w:rsid w:val="0074122E"/>
    <w:rPr>
      <w:rFonts w:ascii="OpenSymbol" w:eastAsia="OpenSymbol" w:hAnsi="OpenSymbol" w:cs="OpenSymbol"/>
    </w:rPr>
  </w:style>
  <w:style w:type="paragraph" w:customStyle="1" w:styleId="Cmsor">
    <w:name w:val="Címsor"/>
    <w:basedOn w:val="Norml"/>
    <w:next w:val="Szvegtrzs"/>
    <w:qFormat/>
    <w:rsid w:val="0074122E"/>
    <w:pPr>
      <w:keepNext/>
      <w:spacing w:before="240" w:after="120"/>
    </w:pPr>
    <w:rPr>
      <w:rFonts w:ascii="Liberation Sans" w:eastAsia="Microsoft YaHei" w:hAnsi="Liberation Sans" w:cs="Mangal"/>
      <w:sz w:val="28"/>
      <w:szCs w:val="28"/>
    </w:rPr>
  </w:style>
  <w:style w:type="paragraph" w:styleId="Szvegtrzs">
    <w:name w:val="Body Text"/>
    <w:basedOn w:val="Norml"/>
    <w:rsid w:val="0074122E"/>
    <w:pPr>
      <w:spacing w:after="140" w:line="288" w:lineRule="auto"/>
    </w:pPr>
  </w:style>
  <w:style w:type="paragraph" w:styleId="Lista">
    <w:name w:val="List"/>
    <w:basedOn w:val="Szvegtrzs"/>
    <w:rsid w:val="0074122E"/>
    <w:rPr>
      <w:rFonts w:cs="Mangal"/>
    </w:rPr>
  </w:style>
  <w:style w:type="paragraph" w:customStyle="1" w:styleId="Felirat">
    <w:name w:val="Felirat"/>
    <w:basedOn w:val="Norml"/>
    <w:qFormat/>
    <w:rsid w:val="0074122E"/>
    <w:pPr>
      <w:suppressLineNumbers/>
      <w:spacing w:before="120" w:after="120"/>
    </w:pPr>
    <w:rPr>
      <w:rFonts w:cs="Mangal"/>
      <w:i/>
      <w:iCs/>
      <w:sz w:val="24"/>
      <w:szCs w:val="24"/>
    </w:rPr>
  </w:style>
  <w:style w:type="paragraph" w:customStyle="1" w:styleId="Trgymutat">
    <w:name w:val="Tárgymutató"/>
    <w:basedOn w:val="Norml"/>
    <w:qFormat/>
    <w:rsid w:val="0074122E"/>
    <w:pPr>
      <w:suppressLineNumbers/>
    </w:pPr>
    <w:rPr>
      <w:rFonts w:cs="Mangal"/>
    </w:rPr>
  </w:style>
  <w:style w:type="paragraph" w:styleId="Listaszerbekezds">
    <w:name w:val="List Paragraph"/>
    <w:basedOn w:val="Norml"/>
    <w:uiPriority w:val="34"/>
    <w:qFormat/>
    <w:rsid w:val="00441FBF"/>
    <w:pPr>
      <w:ind w:left="720"/>
      <w:contextualSpacing/>
    </w:pPr>
  </w:style>
  <w:style w:type="paragraph" w:styleId="Buborkszveg">
    <w:name w:val="Balloon Text"/>
    <w:basedOn w:val="Norml"/>
    <w:link w:val="BuborkszvegChar"/>
    <w:uiPriority w:val="99"/>
    <w:semiHidden/>
    <w:unhideWhenUsed/>
    <w:qFormat/>
    <w:rsid w:val="009668F5"/>
    <w:pPr>
      <w:spacing w:after="0" w:line="240" w:lineRule="auto"/>
    </w:pPr>
    <w:rPr>
      <w:rFonts w:ascii="Segoe UI" w:hAnsi="Segoe UI" w:cs="Segoe UI"/>
      <w:sz w:val="18"/>
      <w:szCs w:val="18"/>
    </w:rPr>
  </w:style>
  <w:style w:type="paragraph" w:customStyle="1" w:styleId="Idzetblokk">
    <w:name w:val="Idézetblokk"/>
    <w:basedOn w:val="Norml"/>
    <w:qFormat/>
    <w:rsid w:val="0074122E"/>
  </w:style>
  <w:style w:type="paragraph" w:styleId="Cm">
    <w:name w:val="Title"/>
    <w:basedOn w:val="Cmsor"/>
    <w:rsid w:val="0074122E"/>
  </w:style>
  <w:style w:type="paragraph" w:styleId="Alcm">
    <w:name w:val="Subtitle"/>
    <w:basedOn w:val="Cmsor"/>
    <w:rsid w:val="0074122E"/>
  </w:style>
  <w:style w:type="table" w:styleId="Rcsostblzat">
    <w:name w:val="Table Grid"/>
    <w:basedOn w:val="Normltblzat"/>
    <w:uiPriority w:val="39"/>
    <w:rsid w:val="00966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B02A2D"/>
    <w:rPr>
      <w:sz w:val="16"/>
      <w:szCs w:val="16"/>
    </w:rPr>
  </w:style>
  <w:style w:type="paragraph" w:styleId="Jegyzetszveg">
    <w:name w:val="annotation text"/>
    <w:basedOn w:val="Norml"/>
    <w:link w:val="JegyzetszvegChar"/>
    <w:uiPriority w:val="99"/>
    <w:semiHidden/>
    <w:unhideWhenUsed/>
    <w:rsid w:val="00B02A2D"/>
    <w:rPr>
      <w:sz w:val="20"/>
      <w:szCs w:val="20"/>
    </w:rPr>
  </w:style>
  <w:style w:type="character" w:customStyle="1" w:styleId="JegyzetszvegChar">
    <w:name w:val="Jegyzetszöveg Char"/>
    <w:basedOn w:val="Bekezdsalapbettpusa"/>
    <w:link w:val="Jegyzetszveg"/>
    <w:uiPriority w:val="99"/>
    <w:semiHidden/>
    <w:rsid w:val="00B02A2D"/>
    <w:rPr>
      <w:color w:val="00000A"/>
      <w:lang w:eastAsia="en-US"/>
    </w:rPr>
  </w:style>
  <w:style w:type="paragraph" w:styleId="Megjegyzstrgya">
    <w:name w:val="annotation subject"/>
    <w:basedOn w:val="Jegyzetszveg"/>
    <w:next w:val="Jegyzetszveg"/>
    <w:link w:val="MegjegyzstrgyaChar"/>
    <w:uiPriority w:val="99"/>
    <w:semiHidden/>
    <w:unhideWhenUsed/>
    <w:rsid w:val="00B02A2D"/>
    <w:rPr>
      <w:b/>
      <w:bCs/>
    </w:rPr>
  </w:style>
  <w:style w:type="character" w:customStyle="1" w:styleId="MegjegyzstrgyaChar">
    <w:name w:val="Megjegyzés tárgya Char"/>
    <w:basedOn w:val="JegyzetszvegChar"/>
    <w:link w:val="Megjegyzstrgya"/>
    <w:uiPriority w:val="99"/>
    <w:semiHidden/>
    <w:rsid w:val="00B02A2D"/>
    <w:rPr>
      <w:b/>
      <w:bCs/>
      <w:color w:val="00000A"/>
      <w:lang w:eastAsia="en-US"/>
    </w:rPr>
  </w:style>
  <w:style w:type="paragraph" w:styleId="lfej">
    <w:name w:val="header"/>
    <w:basedOn w:val="Norml"/>
    <w:link w:val="lfejChar"/>
    <w:uiPriority w:val="99"/>
    <w:unhideWhenUsed/>
    <w:rsid w:val="00390ECF"/>
    <w:pPr>
      <w:tabs>
        <w:tab w:val="center" w:pos="4536"/>
        <w:tab w:val="right" w:pos="9072"/>
      </w:tabs>
      <w:spacing w:after="0" w:line="240" w:lineRule="auto"/>
    </w:pPr>
  </w:style>
  <w:style w:type="character" w:customStyle="1" w:styleId="lfejChar">
    <w:name w:val="Élőfej Char"/>
    <w:basedOn w:val="Bekezdsalapbettpusa"/>
    <w:link w:val="lfej"/>
    <w:uiPriority w:val="99"/>
    <w:rsid w:val="00390ECF"/>
    <w:rPr>
      <w:color w:val="00000A"/>
      <w:sz w:val="22"/>
      <w:szCs w:val="22"/>
      <w:lang w:eastAsia="en-US"/>
    </w:rPr>
  </w:style>
  <w:style w:type="paragraph" w:styleId="llb">
    <w:name w:val="footer"/>
    <w:basedOn w:val="Norml"/>
    <w:link w:val="llbChar"/>
    <w:uiPriority w:val="99"/>
    <w:semiHidden/>
    <w:unhideWhenUsed/>
    <w:rsid w:val="00390EC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90ECF"/>
    <w:rPr>
      <w:color w:val="00000A"/>
      <w:sz w:val="22"/>
      <w:szCs w:val="22"/>
      <w:lang w:eastAsia="en-US"/>
    </w:rPr>
  </w:style>
  <w:style w:type="paragraph" w:styleId="Lbjegyzetszveg">
    <w:name w:val="footnote text"/>
    <w:basedOn w:val="Norml"/>
    <w:link w:val="LbjegyzetszvegChar"/>
    <w:uiPriority w:val="99"/>
    <w:semiHidden/>
    <w:unhideWhenUsed/>
    <w:rsid w:val="005B73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7350"/>
    <w:rPr>
      <w:color w:val="00000A"/>
      <w:lang w:eastAsia="en-US"/>
    </w:rPr>
  </w:style>
  <w:style w:type="character" w:styleId="Lbjegyzet-hivatkozs">
    <w:name w:val="footnote reference"/>
    <w:basedOn w:val="Bekezdsalapbettpusa"/>
    <w:uiPriority w:val="99"/>
    <w:semiHidden/>
    <w:unhideWhenUsed/>
    <w:rsid w:val="005B7350"/>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C0B5-2BA1-4249-A9CA-8AA12B13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5507</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TT1-Ildiko</dc:creator>
  <cp:lastModifiedBy>papp</cp:lastModifiedBy>
  <cp:revision>5</cp:revision>
  <cp:lastPrinted>2021-10-27T09:15:00Z</cp:lastPrinted>
  <dcterms:created xsi:type="dcterms:W3CDTF">2021-10-14T12:53:00Z</dcterms:created>
  <dcterms:modified xsi:type="dcterms:W3CDTF">2021-10-27T13:03:00Z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